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
        <w:tabs>
          <w:tab w:val="clear" w:pos="720"/>
          <w:tab w:val="left" w:pos="-1440" w:leader="none"/>
        </w:tabs>
        <w:spacing w:before="0" w:after="0"/>
        <w:ind w:hanging="0" w:start="0" w:end="0"/>
        <w:jc w:val="both"/>
        <w:rPr>
          <w:sz w:val="24"/>
        </w:rPr>
      </w:pPr>
      <w:r>
        <w:rPr>
          <w:sz w:val="24"/>
        </w:rPr>
        <w:t xml:space="preserve">This summary is as follows: </w:t>
      </w:r>
    </w:p>
    <w:p>
      <w:pPr>
        <w:pStyle w:val="List"/>
        <w:tabs>
          <w:tab w:val="clear" w:pos="720"/>
          <w:tab w:val="left" w:pos="-1440" w:leader="none"/>
        </w:tabs>
        <w:spacing w:before="0" w:after="0"/>
        <w:ind w:hanging="0" w:start="0" w:end="0"/>
        <w:jc w:val="both"/>
        <w:rPr>
          <w:sz w:val="24"/>
        </w:rPr>
      </w:pPr>
      <w:r>
        <w:rPr>
          <w:sz w:val="24"/>
        </w:rPr>
      </w:r>
    </w:p>
    <w:tbl>
      <w:tblPr>
        <w:tblW w:w="8748" w:type="dxa"/>
        <w:jc w:val="start"/>
        <w:tblInd w:w="0" w:type="dxa"/>
        <w:tblLayout w:type="fixed"/>
        <w:tblCellMar>
          <w:top w:w="0" w:type="dxa"/>
          <w:start w:w="108" w:type="dxa"/>
          <w:bottom w:w="0" w:type="dxa"/>
          <w:end w:w="108" w:type="dxa"/>
        </w:tblCellMar>
      </w:tblPr>
      <w:tblGrid>
        <w:gridCol w:w="1998"/>
        <w:gridCol w:w="6750"/>
      </w:tblGrid>
      <w:tr>
        <w:trPr/>
        <w:tc>
          <w:tcPr>
            <w:tcW w:w="1998" w:type="dxa"/>
            <w:tcBorders/>
          </w:tcPr>
          <w:p>
            <w:pPr>
              <w:pStyle w:val="List"/>
              <w:tabs>
                <w:tab w:val="clear" w:pos="720"/>
                <w:tab w:val="left" w:pos="-1440" w:leader="none"/>
              </w:tabs>
              <w:snapToGrid w:val="false"/>
              <w:spacing w:before="0" w:after="0"/>
              <w:ind w:hanging="0" w:start="0" w:end="0"/>
              <w:jc w:val="both"/>
              <w:rPr>
                <w:b/>
                <w:sz w:val="24"/>
              </w:rPr>
            </w:pPr>
            <w:r>
              <w:rPr>
                <w:b/>
                <w:sz w:val="24"/>
              </w:rPr>
            </w:r>
          </w:p>
        </w:tc>
        <w:tc>
          <w:tcPr>
            <w:tcW w:w="6750" w:type="dxa"/>
            <w:tcBorders/>
          </w:tcPr>
          <w:p>
            <w:pPr>
              <w:pStyle w:val="Normal"/>
              <w:tabs>
                <w:tab w:val="clear" w:pos="720"/>
                <w:tab w:val="left" w:pos="-1440" w:leader="none"/>
              </w:tabs>
              <w:snapToGrid w:val="false"/>
              <w:spacing w:before="0" w:after="0"/>
              <w:ind w:start="252" w:end="0"/>
              <w:jc w:val="both"/>
              <w:rPr>
                <w:b/>
                <w:sz w:val="24"/>
              </w:rPr>
            </w:pPr>
            <w:r>
              <w:rPr>
                <w:b/>
                <w:sz w:val="24"/>
              </w:rPr>
            </w:r>
          </w:p>
        </w:tc>
      </w:tr>
      <w:tr>
        <w:trPr/>
        <w:tc>
          <w:tcPr>
            <w:tcW w:w="1998" w:type="dxa"/>
            <w:tcBorders/>
          </w:tcPr>
          <w:p>
            <w:pPr>
              <w:pStyle w:val="List"/>
              <w:tabs>
                <w:tab w:val="clear" w:pos="720"/>
                <w:tab w:val="left" w:pos="-1440" w:leader="none"/>
              </w:tabs>
              <w:spacing w:before="0" w:after="0"/>
              <w:ind w:hanging="0" w:start="0" w:end="0"/>
              <w:jc w:val="both"/>
              <w:rPr>
                <w:b/>
                <w:sz w:val="24"/>
              </w:rPr>
            </w:pPr>
            <w:r>
              <w:rPr>
                <w:b/>
                <w:sz w:val="24"/>
              </w:rPr>
              <w:t>Brazil</w:t>
            </w:r>
          </w:p>
        </w:tc>
        <w:tc>
          <w:tcPr>
            <w:tcW w:w="6750" w:type="dxa"/>
            <w:tcBorders/>
          </w:tcPr>
          <w:p>
            <w:pPr>
              <w:pStyle w:val="Normal"/>
              <w:tabs>
                <w:tab w:val="clear" w:pos="720"/>
                <w:tab w:val="left" w:pos="-1440" w:leader="none"/>
              </w:tabs>
              <w:spacing w:before="0" w:after="0"/>
              <w:ind w:start="252" w:end="0"/>
              <w:jc w:val="both"/>
              <w:rPr>
                <w:sz w:val="24"/>
              </w:rPr>
            </w:pPr>
            <w:r>
              <w:rPr>
                <w:sz w:val="24"/>
              </w:rPr>
              <w:t xml:space="preserve">Members in MAE must maintain a “guarantee account” equal to two months of estimated energy purchases based on estimated at average short term prices. Non members must provide a bank guarantee equal to 50% of their estimated annual transactions.  </w:t>
            </w:r>
          </w:p>
          <w:p>
            <w:pPr>
              <w:pStyle w:val="List"/>
              <w:tabs>
                <w:tab w:val="clear" w:pos="720"/>
                <w:tab w:val="left" w:pos="-1440" w:leader="none"/>
              </w:tabs>
              <w:spacing w:before="0" w:after="0"/>
              <w:ind w:hanging="0" w:start="252" w:end="0"/>
              <w:jc w:val="both"/>
              <w:rPr>
                <w:sz w:val="24"/>
              </w:rPr>
            </w:pPr>
            <w:r>
              <w:rPr>
                <w:sz w:val="24"/>
              </w:rPr>
            </w:r>
          </w:p>
        </w:tc>
      </w:tr>
    </w:tbl>
    <w:p>
      <w:pPr>
        <w:pStyle w:val="Normal"/>
        <w:rPr/>
      </w:pPr>
      <w:r>
        <w:rPr>
          <w:b/>
          <w:sz w:val="24"/>
          <w:u w:val="single"/>
        </w:rPr>
        <w:t>Brazil</w:t>
      </w:r>
      <w:r>
        <w:rPr>
          <w:b/>
          <w:sz w:val="24"/>
        </w:rPr>
        <w:t>:</w:t>
      </w:r>
    </w:p>
    <w:p>
      <w:pPr>
        <w:pStyle w:val="Normal"/>
        <w:tabs>
          <w:tab w:val="clear" w:pos="720"/>
          <w:tab w:val="left" w:pos="-1440" w:leader="none"/>
        </w:tabs>
        <w:jc w:val="both"/>
        <w:rPr/>
      </w:pPr>
      <w:r>
        <w:rPr>
          <w:sz w:val="24"/>
        </w:rPr>
        <w:t>The Brazilian Wholesale Electric Energy Market (MAE) is basically governed by several resolutions enacted by the National Electric Energy Agency (ANEEL).  In addition to resolutions 244, 245, 248, 249, 261, 262, 264, 265, 266, 267, 268, 269 and 270 the MAE’s participants must adhere to and execute a Market Agreement (Agreement)</w:t>
      </w:r>
      <w:r>
        <w:rPr>
          <w:rStyle w:val="FootnoteCharacters"/>
          <w:rStyle w:val="FootnoteReference"/>
          <w:sz w:val="24"/>
        </w:rPr>
        <w:footnoteReference w:id="2"/>
      </w:r>
      <w:r>
        <w:rPr>
          <w:sz w:val="24"/>
        </w:rPr>
        <w:t xml:space="preserve">.  </w:t>
      </w:r>
    </w:p>
    <w:p>
      <w:pPr>
        <w:pStyle w:val="Normal"/>
        <w:tabs>
          <w:tab w:val="clear" w:pos="720"/>
          <w:tab w:val="left" w:pos="-1440" w:leader="none"/>
        </w:tabs>
        <w:jc w:val="both"/>
        <w:rPr>
          <w:sz w:val="24"/>
        </w:rPr>
      </w:pPr>
      <w:r>
        <w:rPr>
          <w:sz w:val="24"/>
        </w:rPr>
      </w:r>
    </w:p>
    <w:p>
      <w:pPr>
        <w:pStyle w:val="Normal"/>
        <w:tabs>
          <w:tab w:val="clear" w:pos="720"/>
          <w:tab w:val="left" w:pos="-1440" w:leader="none"/>
        </w:tabs>
        <w:spacing w:before="60" w:after="60"/>
        <w:jc w:val="both"/>
        <w:rPr/>
      </w:pPr>
      <w:r>
        <w:rPr>
          <w:sz w:val="24"/>
        </w:rPr>
        <w:t xml:space="preserve">The Agreement defines </w:t>
      </w:r>
      <w:r>
        <w:rPr>
          <w:i/>
          <w:sz w:val="24"/>
        </w:rPr>
        <w:t>Guarantee</w:t>
      </w:r>
      <w:r>
        <w:rPr>
          <w:sz w:val="24"/>
        </w:rPr>
        <w:t xml:space="preserve"> as “the means, enforceable out of court, by which the fulfillment of an obligation to pay is secured.”, and necessitates that “all buyers of electric energy in the Short Term Market must provide guarantees that such buyer is able to fulfill its financial obligations.” Each member of the MAE shall have a “guarantee account” to be managed by the Administrator of the Accounting and Settlement System according to rules established by the General Assembly of the MAE</w:t>
      </w:r>
      <w:r>
        <w:rPr>
          <w:rStyle w:val="FootnoteCharacters"/>
          <w:rStyle w:val="FootnoteReference"/>
          <w:sz w:val="24"/>
        </w:rPr>
        <w:footnoteReference w:id="3"/>
      </w:r>
      <w:r>
        <w:rPr>
          <w:sz w:val="24"/>
        </w:rPr>
        <w:t>. The Agreement provides that the amount maintained in such accounts shall be determined monthly and shall be equivalent to two months of estimated energy purchases, multiplied by a reference price based on average short term prices as per criteria approved by the Executive Committee of the MAE.  In addition, marketers that are not parties to the MAE must present to ANEEL, in order to receive authorization to do business, a bank guarantee or insurance policy in the amount of at least 50% of the volume of annual sales the marketer is authorized to perform.</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s>
        <w:spacing w:before="60" w:after="0"/>
        <w:rPr/>
      </w:pPr>
      <w:r>
        <w:rPr>
          <w:rStyle w:val="FootnoteCharacters"/>
        </w:rPr>
        <w:footnoteRef/>
      </w:r>
      <w:r>
        <w:rPr/>
        <w:t xml:space="preserve"> </w:t>
      </w:r>
      <w:r>
        <w:rPr/>
        <w:t>Although most regulations dealing with the MAE are already enacted, market participants have not yet executed the Agreement.  A final form of the document has been recently released to the public by ANEEL.</w:t>
      </w:r>
    </w:p>
  </w:footnote>
  <w:footnote w:id="3">
    <w:p>
      <w:pPr>
        <w:pStyle w:val="FootnoteText"/>
        <w:spacing w:before="60" w:after="0"/>
        <w:rPr/>
      </w:pPr>
      <w:r>
        <w:rPr>
          <w:rStyle w:val="FootnoteCharacters"/>
        </w:rPr>
        <w:footnoteRef/>
      </w:r>
      <w:r>
        <w:rPr/>
        <w:t xml:space="preserve">  </w:t>
      </w:r>
      <w:r>
        <w:rPr/>
        <w:t>These rules are not yet in place and the General Assembly has not yet convened.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jc w:val="center"/>
      <w:rPr>
        <w:b/>
        <w:sz w:val="32"/>
      </w:rPr>
    </w:pP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tabs>
        <w:tab w:val="clear" w:pos="720"/>
        <w:tab w:val="left" w:pos="-1440" w:leader="none"/>
      </w:tabs>
      <w:outlineLvl w:val="3"/>
    </w:pPr>
    <w:rPr>
      <w:b/>
      <w:u w:val="single"/>
    </w:rPr>
  </w:style>
  <w:style w:type="paragraph" w:styleId="Heading5">
    <w:name w:val="heading 5"/>
    <w:basedOn w:val="Normal"/>
    <w:next w:val="Normal"/>
    <w:qFormat/>
    <w:pPr>
      <w:keepNext w:val="true"/>
      <w:numPr>
        <w:ilvl w:val="4"/>
        <w:numId w:val="1"/>
      </w:numPr>
      <w:tabs>
        <w:tab w:val="clear" w:pos="720"/>
        <w:tab w:val="left" w:pos="-1440" w:leader="none"/>
      </w:tabs>
      <w:spacing w:before="0" w:after="0"/>
      <w:ind w:hanging="0" w:start="1170" w:end="0"/>
      <w:outlineLvl w:val="4"/>
    </w:pPr>
    <w:rPr>
      <w:b/>
      <w:u w:val="single"/>
    </w:rPr>
  </w:style>
  <w:style w:type="paragraph" w:styleId="Heading6">
    <w:name w:val="heading 6"/>
    <w:basedOn w:val="Normal"/>
    <w:next w:val="Normal"/>
    <w:qFormat/>
    <w:pPr>
      <w:keepNext w:val="true"/>
      <w:numPr>
        <w:ilvl w:val="5"/>
        <w:numId w:val="1"/>
      </w:numPr>
      <w:tabs>
        <w:tab w:val="clear" w:pos="720"/>
        <w:tab w:val="left" w:pos="-1440" w:leader="none"/>
      </w:tabs>
      <w:outlineLvl w:val="5"/>
    </w:pPr>
    <w:rPr>
      <w:b/>
      <w:sz w:val="22"/>
      <w:u w:val="single"/>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spacing w:before="0" w:after="0"/>
      <w:jc w:val="center"/>
      <w:outlineLvl w:val="7"/>
    </w:pPr>
    <w:rPr>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0z0">
    <w:name w:val="WW8Num10z0"/>
    <w:qFormat/>
    <w:rPr/>
  </w:style>
  <w:style w:type="character" w:styleId="WW8Num13z0">
    <w:name w:val="WW8Num13z0"/>
    <w:qFormat/>
    <w:rPr/>
  </w:style>
  <w:style w:type="character" w:styleId="WW8Num15z0">
    <w:name w:val="WW8Num15z0"/>
    <w:qFormat/>
    <w:rPr/>
  </w:style>
  <w:style w:type="character" w:styleId="WW8NumSt15z0">
    <w:name w:val="WW8NumSt15z0"/>
    <w:qFormat/>
    <w:rPr>
      <w:rFonts w:ascii="Symbol" w:hAnsi="Symbol" w:cs="Symbol"/>
    </w:rPr>
  </w:style>
  <w:style w:type="character" w:styleId="WW8NumSt16z0">
    <w:name w:val="WW8NumSt1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tabs>
        <w:tab w:val="clear" w:pos="720"/>
        <w:tab w:val="left" w:pos="-1440" w:leader="none"/>
      </w:tabs>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Indent">
    <w:name w:val="Body Text Indent"/>
    <w:basedOn w:val="Normal"/>
    <w:pPr>
      <w:spacing w:before="0" w:after="0"/>
    </w:pPr>
    <w:rPr>
      <w:sz w:val="22"/>
    </w:rPr>
  </w:style>
  <w:style w:type="paragraph" w:styleId="BodyTextIndent2">
    <w:name w:val="Body Text Indent 2"/>
    <w:basedOn w:val="Normal"/>
    <w:qFormat/>
    <w:pPr>
      <w:tabs>
        <w:tab w:val="clear" w:pos="720"/>
        <w:tab w:val="left" w:pos="-1440" w:leader="none"/>
      </w:tabs>
      <w:ind w:hanging="0" w:start="1170" w:end="0"/>
      <w:jc w:val="both"/>
    </w:pPr>
    <w:rPr/>
  </w:style>
  <w:style w:type="paragraph" w:styleId="BodyTextIndent3">
    <w:name w:val="Body Text Indent 3"/>
    <w:basedOn w:val="Normal"/>
    <w:qFormat/>
    <w:pPr>
      <w:tabs>
        <w:tab w:val="clear" w:pos="720"/>
        <w:tab w:val="left" w:pos="630" w:leader="none"/>
      </w:tabs>
      <w:spacing w:before="0" w:after="0"/>
      <w:ind w:hanging="0" w:start="630" w:end="0"/>
      <w:jc w:val="both"/>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0" w:after="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International 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2001-07-13T08:37:00Z</dcterms:created>
  <dc:creator>ibrahim</dc:creator>
  <dc:description/>
  <dc:language>en-CA</dc:language>
  <cp:lastModifiedBy>enron</cp:lastModifiedBy>
  <cp:lastPrinted>1998-09-21T17:30:00Z</cp:lastPrinted>
  <dcterms:modified xsi:type="dcterms:W3CDTF">2001-07-13T08:38:00Z</dcterms:modified>
  <cp:revision>3</cp:revision>
  <dc:subject/>
  <dc:title>Enron International Memo</dc:title>
</cp:coreProperties>
</file>