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BodyTextIndent"/>
        <w:keepNext w:val="false"/>
        <w:rPr>
          <w:sz w:val="22"/>
          <w:szCs w:val="22"/>
        </w:rPr>
      </w:pPr>
      <w:r>
        <w:rPr>
          <w:sz w:val="22"/>
          <w:szCs w:val="22"/>
        </w:rPr>
      </w:r>
    </w:p>
    <w:p>
      <w:pPr>
        <w:pStyle w:val="BodyTextIndent"/>
        <w:keepNext w:val="false"/>
        <w:rPr/>
      </w:pPr>
      <w:r>
        <w:rPr/>
        <w:t>This Guaranty (the “Guaranty”), dated as of December 31, 2000 is made and entered into by Enron Corp., an Oregon corporation (“Guarantor”).</w:t>
      </w:r>
    </w:p>
    <w:p>
      <w:pPr>
        <w:pStyle w:val="Normal"/>
        <w:keepNext w:val="true"/>
        <w:spacing w:lineRule="atLeast" w:line="240"/>
        <w:jc w:val="center"/>
        <w:rPr>
          <w:b/>
          <w:caps/>
          <w:sz w:val="22"/>
        </w:rPr>
      </w:pPr>
      <w:r>
        <w:rPr>
          <w:b/>
          <w:caps/>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WHEREAS, each of AQUILA RISK MANAGEMENT CORPORATION, a Delaware corporation (“ARMC”), AQUILA ENERGY LIMITED, a company registered in England and Wales (“AEL”), AQUILA ENERGY INTERNATIONAL, LLC, a Delaware limited liability company (“AEI”), and AQUILA ENERGY NORDIC A.S., a Norwegian company registered in Norway (“AEN”) and ENRON CAPITAL &amp; TRADE RESOURCES INTERNATIONAL CORP., a Delaware corporation and an affiliate of Guarantor (“ECTRIC”), have entered into and/or will enter into one or more swap, option, or other financially-settled derivative transactions  (the “Financial Transactions”), which Financial Transactions will be evidenced by one or more swap agreements, confirmations and/or master agreements, as the same may from time to time be modified, amended and supplemented (all such Financial Transactions and the agreements evidencing same,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each of AEL, AQUILA ENERGY MARKETING CORPORATION, a Delaware corporation (“AEMC”), THE EXCHANGE CENTER, INC. a Delaware corporation (“AEX”), and USGT/AQUILA L.P., a Texas limited partnership (“USGT/Aquila”) and each of ENRON CAPITAL AND TRADE RESOURCES LIMITED, a corporation organized under the laws of England and Wales and an affiliate of Guarantor (“ECTRL”), ENRON NORTH AMERICA CORP., a Delaware corporation (“ENA”), HOUSTON PIPE LINE COMPANY, a Delaware corporation and an affiliate of Guarantor (“HPL”), ENRON GAS LIQUIDS, INC., a Delaware corporation and an affiliate of Guarantor (“EGLI”), ENRON ENERGY SERVICES, INC., a Delaware corporation and an affiliate of Guarantor (“EES”) and CLINTON ENERGY MANAGEMENT SERVICES, INC, an Ohio corporation and an affiliate of Guarantor (“CEMS”), have entered into and/or will enter into one or more gas, coal, crude oil, emissions credits  and/or other commodity transactions (the “Commodity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each of AEMC, AEL, AEI and AEN and each of ECTRL, ECTRIC and </w:t>
      </w:r>
      <w:r>
        <w:rPr>
          <w:caps/>
          <w:sz w:val="22"/>
        </w:rPr>
        <w:t>Enron POWER MARKETING, INC.</w:t>
      </w:r>
      <w:r>
        <w:rPr>
          <w:sz w:val="22"/>
        </w:rPr>
        <w:t>, a Delaware corporation and an affiliate of Guarantor (“EPMI”) have entered into and/or will enter into one or more power trading, marketing, purchase and/or sale transactions (the “Power Transactions”), which Power Transactions will be evidenced by one or more master agreements, including without limitation, the Master Energy Purchase and Sale Agreement dated as of February 1, 1997,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WHEREAS, AQUILA BROADBAND SERVICES, INC., a Delaware corporation (“ABS”)(ARMC, AEL, AEI, AEN, AEMC, AEX, USGT/Aquila and ABS being hereinafter collectively referred to as the “Aquila Entities”) and </w:t>
      </w:r>
      <w:r>
        <w:rPr>
          <w:caps/>
          <w:sz w:val="22"/>
        </w:rPr>
        <w:t xml:space="preserve">Enron BROADBAND SERVICES L.P., </w:t>
      </w:r>
      <w:r>
        <w:rPr>
          <w:sz w:val="22"/>
        </w:rPr>
        <w:t>a Delaware limited partnership (“Enron Broadband”) and an affiliate of Guarantor or such other entity that is an affiliate of Enron Broadband and enters into Bandwidth Transactions (as defined below) (collectively, “EBS”) (ECTRIC, ECTRL, EGLI, ENA, HPL, EES, CEMS, EPMI and EBS being hereinafter collectively referred to as the “Enron Entities”), have entered into and/or will enter into one or more bandwidth capacity trading, marketing, purchase and/or sale transactions (the “Bandwidth Transactions”) (the Financial Transactions, the Commodity Transactions, the Power Transactions, the Bandwidth Transactions and any other similar transactions entered into by and between the Aquila Entities and the Enron Entities, being hereinafter collectively referred to as the “Transactions”), which Bandwidth Transactions will be evidenced by one or more master agreements,  as the same may from time to time be modified, amended and supplemented (all such Bandwidth Transactions and the agreements evidencing same, whether entered into prior to, on or after the date hereof, as the same may be modified, amended and supplemented, shall be herein referred to collectively as the “Bandwidth Contracts”) (the Financial Contracts, the Physical Contracts, the Power Contracts, the Bandwidth Contracts and any other agreements entered into in connection with one or more Transactions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Entities and the Aquila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WHEREAS, Guarantor has entered into that certain Guaranty Agreement dated as of May 3, 2000 (the “Prior Guaranty Agreement”);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desires to substitute and replace this Guaranty for the Prior Guaranty Agreement and the Aquila Entities have agreed to such substitution and replacement;</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Entities and the Aquila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Entities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Entities (the “Obligations”) to the Aquila Entities under the Contracts, and (b) to the extent that any Enron Entity shall fail to pay any Obligations to any Aquila Entity, Guarantor shall promptly pay to such Aquila Entity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$100,000,000 (the “Guarantee Cap”).</w:t>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pPr>
      <w:r>
        <w:rPr>
          <w:sz w:val="22"/>
        </w:rPr>
        <w:t>2.</w:t>
        <w:tab/>
      </w:r>
      <w:r>
        <w:rPr>
          <w:sz w:val="22"/>
          <w:u w:val="single"/>
        </w:rPr>
        <w:t>DEMANDS AND NOTICE</w:t>
      </w:r>
      <w:r>
        <w:rPr>
          <w:sz w:val="22"/>
        </w:rPr>
        <w:t>.  If any of the Enron Entities fails or refuses to pay any Obligations, and any of the Aquila Entities has elected to exercise its rights under this Guaranty, such Aquila Entity shall make a demand upon Guarantor (hereinafter referred to as a “Payment Demand”).  A Payment Demand shall be in writing and shall reasonably and briefly specify in what manner and what amount such Enron Entity has failed to pay and an explanation of why such payment is due, with a specific statement that such Aquila Entity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such Enron Entity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Aquila Entities in excess of the Guarantee Cap, Guarantor’s total payment up to but not exceeding the Guarantee Cap shall be allocated among the Contracts to which such Aquila Entities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each of the Enron Entities is or may be entitled to arising from or out of the Contracts or otherwise, except for defenses arising out of the bankruptcy, insolvency, dissolution or liquidation of the Enron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Aquila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Enron Entities or any other person, or except as expressly hereinabove set forth, to require that the Aquila Entities seek enforcement of any performance against the Enron Entities or any other person, prior to any action against Guarantor under the terms hereof.  Except as to applicable statutes of limitation, no delay of the Aquila Entities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This Guaranty shall terminate upon the earlier to occur of (a) December 31, 2001 or (b) the Termination Effective Date (as defined below); provided, however that, this Guaranty shall automatically terminate as to the Obligations of HPL to any Aquila Entity that are guaranteed hereunder on the date that the Aquila Entities receive notice that HPL is no longer a wholly-owned subsidiary of Guarantor.  Guarantor may terminate this Guaranty by providing written notice of such termination to the Aquila Entities and upon the effectiveness of such termination, Guarantor shall have no further liability hereunder, except as provided in the last sentence of this paragraph.  No such termination shall be effective until ten (10) business days after receipt by the Aquila Entities of such termination notice (the “Termination Effective Date”).  No such termination (whether it occurs on December 31, 2001 or the Termination Effective Date)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ind w:end="-108"/>
              <w:rPr>
                <w:sz w:val="22"/>
              </w:rPr>
            </w:pPr>
            <w:r>
              <w:rPr>
                <w:b/>
                <w:sz w:val="22"/>
              </w:rPr>
              <w:t>To the Aquila Entities:</w:t>
            </w:r>
          </w:p>
        </w:tc>
        <w:tc>
          <w:tcPr>
            <w:tcW w:w="4302" w:type="dxa"/>
            <w:tcBorders/>
          </w:tcPr>
          <w:p>
            <w:pPr>
              <w:pStyle w:val="Normal"/>
              <w:keepNext w:val="true"/>
              <w:keepLines/>
              <w:snapToGrid w:val="false"/>
              <w:spacing w:lineRule="atLeast" w:line="240"/>
              <w:rPr>
                <w:sz w:val="22"/>
              </w:rPr>
            </w:pPr>
            <w:r>
              <w:rPr>
                <w:sz w:val="22"/>
              </w:rPr>
            </w:r>
          </w:p>
          <w:p>
            <w:pPr>
              <w:pStyle w:val="Normal"/>
              <w:keepNext w:val="true"/>
              <w:keepLines/>
              <w:spacing w:lineRule="atLeast" w:line="240"/>
              <w:rPr>
                <w:sz w:val="22"/>
              </w:rPr>
            </w:pPr>
            <w:r>
              <w:rPr>
                <w:sz w:val="22"/>
              </w:rPr>
              <w:t>Aquila Energy Corporation</w:t>
            </w:r>
          </w:p>
          <w:p>
            <w:pPr>
              <w:pStyle w:val="Normal"/>
              <w:keepNext w:val="true"/>
              <w:keepLines/>
              <w:spacing w:lineRule="atLeast" w:line="240"/>
              <w:rPr/>
            </w:pPr>
            <w:r>
              <w:rPr>
                <w:sz w:val="22"/>
              </w:rPr>
              <w:t>20 W. 9</w:t>
            </w:r>
            <w:r>
              <w:rPr>
                <w:sz w:val="22"/>
                <w:vertAlign w:val="superscript"/>
              </w:rPr>
              <w:t>th</w:t>
            </w:r>
            <w:r>
              <w:rPr>
                <w:sz w:val="22"/>
              </w:rPr>
              <w:t xml:space="preserve"> Street</w:t>
            </w:r>
          </w:p>
          <w:p>
            <w:pPr>
              <w:pStyle w:val="Normal"/>
              <w:keepNext w:val="true"/>
              <w:keepLines/>
              <w:spacing w:lineRule="atLeast" w:line="240"/>
              <w:rPr>
                <w:sz w:val="22"/>
              </w:rPr>
            </w:pPr>
            <w:r>
              <w:rPr>
                <w:sz w:val="22"/>
              </w:rPr>
              <w:t xml:space="preserve">Kansas City, MO 64105 </w:t>
            </w:r>
          </w:p>
        </w:tc>
        <w:tc>
          <w:tcPr>
            <w:tcW w:w="1618" w:type="dxa"/>
            <w:tcBorders/>
          </w:tcPr>
          <w:p>
            <w:pPr>
              <w:pStyle w:val="Normal"/>
              <w:keepNext w:val="true"/>
              <w:keepLines/>
              <w:spacing w:lineRule="atLeast" w:line="240"/>
              <w:rPr>
                <w:sz w:val="22"/>
              </w:rPr>
            </w:pPr>
            <w:r>
              <w:rPr>
                <w:b/>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Enron Corp.</w:t>
            </w:r>
          </w:p>
          <w:p>
            <w:pPr>
              <w:pStyle w:val="Normal"/>
              <w:keepNext w:val="true"/>
              <w:keepLines/>
              <w:tabs>
                <w:tab w:val="clear" w:pos="720"/>
                <w:tab w:val="right" w:pos="2988" w:leader="none"/>
              </w:tabs>
              <w:spacing w:lineRule="atLeast" w:line="240"/>
              <w:rPr>
                <w:sz w:val="22"/>
              </w:rPr>
            </w:pPr>
            <w:r>
              <w:rPr>
                <w:sz w:val="22"/>
              </w:rPr>
              <w:t>1400 Smith Street</w:t>
            </w:r>
          </w:p>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  Corporate Credit Dept.</w:t>
            </w:r>
          </w:p>
          <w:p>
            <w:pPr>
              <w:pStyle w:val="Normal"/>
              <w:keepNext w:val="true"/>
              <w:keepLines/>
              <w:spacing w:lineRule="atLeast" w:line="240"/>
              <w:rPr>
                <w:sz w:val="22"/>
              </w:rPr>
            </w:pPr>
            <w:r>
              <w:rPr>
                <w:sz w:val="22"/>
              </w:rPr>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816-467-8257</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  713-646-3422</w:t>
            </w:r>
          </w:p>
        </w:tc>
      </w:tr>
    </w:tbl>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A copy of any notice sent to Guarantor pursuant hereto must also be sent to the above address to:  (i) Enron Corp., (i)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w:t>
      </w:r>
      <w:r>
        <w:rPr>
          <w:b/>
          <w:sz w:val="22"/>
        </w:rPr>
        <w:t>THIS GUARANTY SHALL IN ALL RESPECTS BE GOVERNED BY, AND CONSTRUED IN ACCORDANCE WITH, THE LAW OF THE STATE OF NEW YORK, WITHOUT REGARD TO PRINCIPLES OF CONFLICTS OF LAWS.</w:t>
      </w:r>
      <w:r>
        <w:rPr>
          <w:sz w:val="22"/>
        </w:rPr>
        <w:t xml:space="preserve">  This Guaranty shall be binding upon Guarantor, its successors and assigns and inure to the benefit of and be enforceable by the Aquila Entities and their respective successors and assigns.  The Guaranty embodies the entire agreement and understanding between Guarantor and the Aquila Entities and supersedes all prior agreements and understandings relating to the subject matter hereof, including the Prior Guaranty Agreement. The headings in this Guaranty are for purposes of reference only, and shall not affect the meaning hereof.</w:t>
      </w:r>
    </w:p>
    <w:p>
      <w:pPr>
        <w:pStyle w:val="Normal"/>
        <w:spacing w:lineRule="atLeast" w:line="240"/>
        <w:jc w:val="both"/>
        <w:rPr>
          <w:sz w:val="22"/>
        </w:rPr>
      </w:pPr>
      <w:r>
        <w:rPr>
          <w:sz w:val="22"/>
        </w:rPr>
      </w:r>
    </w:p>
    <w:p>
      <w:pPr>
        <w:pStyle w:val="Header"/>
        <w:widowControl/>
        <w:tabs>
          <w:tab w:val="clear" w:pos="4320"/>
          <w:tab w:val="left" w:pos="720" w:leader="none"/>
          <w:tab w:val="center" w:pos="1440" w:leader="none"/>
          <w:tab w:val="right" w:pos="8640" w:leader="none"/>
        </w:tabs>
        <w:ind w:firstLine="720" w:end="0"/>
        <w:jc w:val="both"/>
        <w:rPr/>
      </w:pPr>
      <w:r>
        <w:rPr/>
        <w:t xml:space="preserve">9.         </w:t>
        <w:tab/>
      </w:r>
      <w:r>
        <w:rPr>
          <w:u w:val="single"/>
        </w:rPr>
        <w:t>PRIOR GUARANTY AGREEMENT</w:t>
      </w:r>
      <w:r>
        <w:rPr/>
        <w:t>.</w:t>
        <w:tab/>
        <w:t xml:space="preserve">  Upon execution and delivery of this Guaranty by Guarantor and each of the Aquila Entities, the Prior Guaranty Agreement shall become null and void and of no further force or effect.  It is expressly acknowledged that this Guaranty is given in replacement and substitution of the Prior Guaranty Agreement and shall become operative only upon termination of the Prior Guaranty Agreement as set forth in this Paragraph 9.</w:t>
      </w:r>
    </w:p>
    <w:p>
      <w:pPr>
        <w:pStyle w:val="Normal"/>
        <w:spacing w:lineRule="atLeast" w:line="240"/>
        <w:ind w:firstLine="720" w:end="0"/>
        <w:jc w:val="both"/>
        <w:rPr>
          <w:sz w:val="22"/>
        </w:rPr>
      </w:pPr>
      <w:r>
        <w:rPr>
          <w:sz w:val="22"/>
        </w:rPr>
      </w:r>
    </w:p>
    <w:p>
      <w:pPr>
        <w:pStyle w:val="BodyTextIndent"/>
        <w:rPr/>
      </w:pPr>
      <w:r>
        <w:rPr/>
        <w:t>IN WITNESS WHEREOF, the Guarantor has executed this Guaranty effective as of the date first above written.</w:t>
      </w:r>
    </w:p>
    <w:p>
      <w:pPr>
        <w:pStyle w:val="Normal"/>
        <w:keepNext w:val="true"/>
        <w:keepLines/>
        <w:spacing w:lineRule="atLeast" w:line="240"/>
        <w:jc w:val="both"/>
        <w:rPr>
          <w:b/>
          <w:sz w:val="22"/>
        </w:rPr>
      </w:pPr>
      <w:r>
        <w:rPr>
          <w:b/>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ind w:firstLine="5400" w:end="0"/>
        <w:rPr>
          <w:sz w:val="22"/>
        </w:rPr>
      </w:pPr>
      <w:r>
        <w:rPr>
          <w:sz w:val="22"/>
        </w:rPr>
        <w:t>Barry J. Schnapper</w:t>
      </w:r>
    </w:p>
    <w:p>
      <w:pPr>
        <w:pStyle w:val="Normal"/>
        <w:ind w:firstLine="5400" w:end="0"/>
        <w:rPr>
          <w:sz w:val="22"/>
        </w:rPr>
      </w:pPr>
      <w:r>
        <w:rPr>
          <w:sz w:val="22"/>
        </w:rPr>
        <w:t>Deputy Treasurer</w:t>
      </w:r>
    </w:p>
    <w:p>
      <w:pPr>
        <w:pStyle w:val="Normal"/>
        <w:rPr>
          <w:sz w:val="22"/>
        </w:rPr>
      </w:pPr>
      <w:r>
        <w:rPr>
          <w:sz w:val="22"/>
        </w:rPr>
      </w:r>
    </w:p>
    <w:p>
      <w:pPr>
        <w:pStyle w:val="Normal"/>
        <w:rPr>
          <w:sz w:val="22"/>
        </w:rPr>
      </w:pPr>
      <w:r>
        <w:rPr>
          <w:sz w:val="22"/>
        </w:rPr>
        <w:t>Agreed to and Acknowledged</w:t>
      </w:r>
    </w:p>
    <w:p>
      <w:pPr>
        <w:pStyle w:val="Normal"/>
        <w:rPr>
          <w:sz w:val="22"/>
        </w:rPr>
      </w:pPr>
      <w:r>
        <w:rPr>
          <w:sz w:val="22"/>
        </w:rPr>
      </w:r>
    </w:p>
    <w:p>
      <w:pPr>
        <w:pStyle w:val="Normal"/>
        <w:rPr>
          <w:sz w:val="22"/>
        </w:rPr>
      </w:pPr>
      <w:r>
        <w:rPr>
          <w:sz w:val="22"/>
        </w:rPr>
      </w:r>
    </w:p>
    <w:p>
      <w:pPr>
        <w:pStyle w:val="Normal"/>
        <w:rPr>
          <w:sz w:val="22"/>
        </w:rPr>
      </w:pPr>
      <w:r>
        <w:rPr>
          <w:sz w:val="22"/>
        </w:rPr>
        <w:t>AQUILA RISK MANAGEMENT CORPORATION</w:t>
      </w:r>
    </w:p>
    <w:p>
      <w:pPr>
        <w:pStyle w:val="Normal"/>
        <w:rPr>
          <w:sz w:val="22"/>
        </w:rPr>
      </w:pPr>
      <w:r>
        <w:rPr>
          <w:sz w:val="22"/>
        </w:rPr>
      </w:r>
    </w:p>
    <w:p>
      <w:pPr>
        <w:pStyle w:val="Normal"/>
        <w:rPr>
          <w:sz w:val="22"/>
        </w:rPr>
      </w:pPr>
      <w:r>
        <w:rPr>
          <w:sz w:val="22"/>
        </w:rPr>
        <w:t>By:  _________________________</w:t>
      </w:r>
    </w:p>
    <w:p>
      <w:pPr>
        <w:pStyle w:val="Normal"/>
        <w:keepLines/>
        <w:spacing w:lineRule="exact" w:line="240"/>
        <w:jc w:val="both"/>
        <w:rPr>
          <w:sz w:val="22"/>
        </w:rPr>
      </w:pPr>
      <w:r>
        <w:rPr>
          <w:sz w:val="22"/>
        </w:rPr>
        <w:t>Name:  ______________________</w:t>
      </w:r>
    </w:p>
    <w:p>
      <w:pPr>
        <w:pStyle w:val="Normal"/>
        <w:keepLines/>
        <w:spacing w:lineRule="exact" w:line="240"/>
        <w:jc w:val="both"/>
        <w:rPr>
          <w:sz w:val="22"/>
        </w:rPr>
      </w:pPr>
      <w:r>
        <w:rPr>
          <w:sz w:val="22"/>
        </w:rPr>
        <w:t>Title:  _______________________</w:t>
      </w:r>
    </w:p>
    <w:p>
      <w:pPr>
        <w:pStyle w:val="Normal"/>
        <w:rPr>
          <w:sz w:val="22"/>
        </w:rPr>
      </w:pPr>
      <w:r>
        <w:rPr>
          <w:sz w:val="22"/>
        </w:rPr>
        <w:t>Date:  _______________________</w:t>
      </w:r>
    </w:p>
    <w:p>
      <w:pPr>
        <w:pStyle w:val="Normal"/>
        <w:rPr>
          <w:sz w:val="22"/>
        </w:rPr>
      </w:pPr>
      <w:r>
        <w:rPr>
          <w:sz w:val="22"/>
        </w:rPr>
      </w:r>
    </w:p>
    <w:p>
      <w:pPr>
        <w:pStyle w:val="Normal"/>
        <w:rPr>
          <w:sz w:val="22"/>
        </w:rPr>
      </w:pPr>
      <w:r>
        <w:rPr>
          <w:sz w:val="22"/>
        </w:rPr>
        <w:t>AQUILA ENERGY MARKETING CORPORATION</w:t>
      </w:r>
    </w:p>
    <w:p>
      <w:pPr>
        <w:pStyle w:val="Normal"/>
        <w:rPr>
          <w:sz w:val="22"/>
        </w:rPr>
      </w:pPr>
      <w:r>
        <w:rPr>
          <w:sz w:val="22"/>
        </w:rPr>
      </w:r>
    </w:p>
    <w:p>
      <w:pPr>
        <w:pStyle w:val="Normal"/>
        <w:rPr>
          <w:sz w:val="22"/>
        </w:rPr>
      </w:pPr>
      <w:r>
        <w:rPr>
          <w:sz w:val="22"/>
        </w:rPr>
        <w:t>By:  _________________________</w:t>
      </w:r>
    </w:p>
    <w:p>
      <w:pPr>
        <w:pStyle w:val="Normal"/>
        <w:keepLines/>
        <w:spacing w:lineRule="exact" w:line="240"/>
        <w:jc w:val="both"/>
        <w:rPr>
          <w:sz w:val="22"/>
        </w:rPr>
      </w:pPr>
      <w:r>
        <w:rPr>
          <w:sz w:val="22"/>
        </w:rPr>
        <w:t>Name:  ______________________</w:t>
      </w:r>
    </w:p>
    <w:p>
      <w:pPr>
        <w:pStyle w:val="Normal"/>
        <w:keepLines/>
        <w:spacing w:lineRule="exact" w:line="240"/>
        <w:jc w:val="both"/>
        <w:rPr>
          <w:sz w:val="22"/>
        </w:rPr>
      </w:pPr>
      <w:r>
        <w:rPr>
          <w:sz w:val="22"/>
        </w:rPr>
        <w:t>Title:  _______________________</w:t>
      </w:r>
    </w:p>
    <w:p>
      <w:pPr>
        <w:pStyle w:val="Normal"/>
        <w:keepLines/>
        <w:spacing w:lineRule="exact" w:line="240"/>
        <w:jc w:val="both"/>
        <w:rPr>
          <w:sz w:val="22"/>
        </w:rPr>
      </w:pPr>
      <w:r>
        <w:rPr>
          <w:sz w:val="22"/>
        </w:rPr>
        <w:t>Date:  _______________________</w:t>
      </w:r>
    </w:p>
    <w:p>
      <w:pPr>
        <w:pStyle w:val="Normal"/>
        <w:keepLines/>
        <w:spacing w:lineRule="exact" w:line="240"/>
        <w:jc w:val="both"/>
        <w:rPr>
          <w:sz w:val="22"/>
        </w:rPr>
      </w:pPr>
      <w:r>
        <w:rPr>
          <w:sz w:val="22"/>
        </w:rPr>
      </w:r>
    </w:p>
    <w:p>
      <w:pPr>
        <w:pStyle w:val="Normal"/>
        <w:keepLines/>
        <w:spacing w:lineRule="exact" w:line="240"/>
        <w:jc w:val="both"/>
        <w:rPr>
          <w:sz w:val="22"/>
        </w:rPr>
      </w:pPr>
      <w:r>
        <w:rPr>
          <w:sz w:val="22"/>
        </w:rPr>
        <w:t>THE EXCHANGE CENTER, INC.</w:t>
      </w:r>
    </w:p>
    <w:p>
      <w:pPr>
        <w:pStyle w:val="Normal"/>
        <w:keepLines/>
        <w:spacing w:lineRule="exact" w:line="240"/>
        <w:jc w:val="both"/>
        <w:rPr>
          <w:sz w:val="22"/>
        </w:rPr>
      </w:pPr>
      <w:r>
        <w:rPr>
          <w:sz w:val="22"/>
        </w:rPr>
      </w:r>
    </w:p>
    <w:p>
      <w:pPr>
        <w:pStyle w:val="Normal"/>
        <w:keepLines/>
        <w:spacing w:lineRule="exact" w:line="240"/>
        <w:jc w:val="both"/>
        <w:rPr>
          <w:sz w:val="22"/>
        </w:rPr>
      </w:pPr>
      <w:r>
        <w:rPr>
          <w:sz w:val="22"/>
        </w:rPr>
        <w:t>By:  _________________________</w:t>
      </w:r>
    </w:p>
    <w:p>
      <w:pPr>
        <w:pStyle w:val="Normal"/>
        <w:keepLines/>
        <w:spacing w:lineRule="exact" w:line="240"/>
        <w:jc w:val="both"/>
        <w:rPr>
          <w:sz w:val="22"/>
        </w:rPr>
      </w:pPr>
      <w:r>
        <w:rPr>
          <w:sz w:val="22"/>
        </w:rPr>
        <w:t>Name:  ______________________</w:t>
      </w:r>
    </w:p>
    <w:p>
      <w:pPr>
        <w:pStyle w:val="Normal"/>
        <w:keepLines/>
        <w:spacing w:lineRule="exact" w:line="240"/>
        <w:jc w:val="both"/>
        <w:rPr>
          <w:sz w:val="22"/>
        </w:rPr>
      </w:pPr>
      <w:r>
        <w:rPr>
          <w:sz w:val="22"/>
        </w:rPr>
        <w:t>Title:  _______________________</w:t>
      </w:r>
    </w:p>
    <w:p>
      <w:pPr>
        <w:pStyle w:val="Normal"/>
        <w:keepLines/>
        <w:spacing w:lineRule="exact" w:line="240"/>
        <w:jc w:val="both"/>
        <w:rPr>
          <w:sz w:val="22"/>
        </w:rPr>
      </w:pPr>
      <w:r>
        <w:rPr>
          <w:sz w:val="22"/>
        </w:rPr>
        <w:t>Date:  _______________________</w:t>
      </w:r>
    </w:p>
    <w:p>
      <w:pPr>
        <w:pStyle w:val="Normal"/>
        <w:keepLines/>
        <w:spacing w:lineRule="exact" w:line="240"/>
        <w:jc w:val="both"/>
        <w:rPr>
          <w:sz w:val="22"/>
        </w:rPr>
      </w:pPr>
      <w:r>
        <w:rPr>
          <w:sz w:val="22"/>
        </w:rPr>
      </w:r>
    </w:p>
    <w:p>
      <w:pPr>
        <w:pStyle w:val="Normal"/>
        <w:keepLines/>
        <w:spacing w:lineRule="exact" w:line="240"/>
        <w:jc w:val="both"/>
        <w:rPr>
          <w:sz w:val="22"/>
        </w:rPr>
      </w:pPr>
      <w:r>
        <w:rPr>
          <w:sz w:val="22"/>
        </w:rPr>
        <w:t>USGT/AQUILA L.P.</w:t>
      </w:r>
    </w:p>
    <w:p>
      <w:pPr>
        <w:pStyle w:val="Normal"/>
        <w:keepLines/>
        <w:spacing w:lineRule="exact" w:line="240"/>
        <w:jc w:val="both"/>
        <w:rPr>
          <w:sz w:val="22"/>
        </w:rPr>
      </w:pPr>
      <w:r>
        <w:rPr>
          <w:sz w:val="22"/>
        </w:rPr>
      </w:r>
    </w:p>
    <w:p>
      <w:pPr>
        <w:pStyle w:val="Normal"/>
        <w:keepLines/>
        <w:spacing w:lineRule="exact" w:line="240"/>
        <w:jc w:val="both"/>
        <w:rPr>
          <w:sz w:val="22"/>
        </w:rPr>
      </w:pPr>
      <w:r>
        <w:rPr>
          <w:sz w:val="22"/>
        </w:rPr>
        <w:t xml:space="preserve">By:__________________________, </w:t>
      </w:r>
    </w:p>
    <w:p>
      <w:pPr>
        <w:pStyle w:val="Normal"/>
        <w:keepLines/>
        <w:spacing w:lineRule="exact" w:line="240"/>
        <w:jc w:val="both"/>
        <w:rPr>
          <w:sz w:val="22"/>
        </w:rPr>
      </w:pPr>
      <w:r>
        <w:rPr>
          <w:sz w:val="22"/>
        </w:rPr>
        <w:t>General Partner</w:t>
      </w:r>
    </w:p>
    <w:p>
      <w:pPr>
        <w:pStyle w:val="Normal"/>
        <w:keepLines/>
        <w:spacing w:lineRule="exact" w:line="240"/>
        <w:ind w:start="5040" w:end="0"/>
        <w:jc w:val="both"/>
        <w:rPr>
          <w:sz w:val="22"/>
        </w:rPr>
      </w:pPr>
      <w:r>
        <w:rPr>
          <w:sz w:val="22"/>
        </w:rPr>
      </w:r>
    </w:p>
    <w:p>
      <w:pPr>
        <w:pStyle w:val="Normal"/>
        <w:keepLines/>
        <w:spacing w:lineRule="exact" w:line="240"/>
        <w:jc w:val="both"/>
        <w:rPr>
          <w:sz w:val="22"/>
        </w:rPr>
      </w:pPr>
      <w:r>
        <w:rPr>
          <w:sz w:val="22"/>
        </w:rPr>
        <w:t xml:space="preserve">By:  </w:t>
      </w:r>
      <w:r>
        <w:rPr>
          <w:sz w:val="22"/>
          <w:u w:val="single"/>
        </w:rPr>
        <w:tab/>
        <w:tab/>
        <w:tab/>
        <w:tab/>
        <w:tab/>
      </w:r>
    </w:p>
    <w:p>
      <w:pPr>
        <w:pStyle w:val="Normal"/>
        <w:keepLines/>
        <w:spacing w:lineRule="atLeast" w:line="240"/>
        <w:jc w:val="both"/>
        <w:rPr>
          <w:sz w:val="22"/>
        </w:rPr>
      </w:pPr>
      <w:r>
        <w:rPr>
          <w:sz w:val="22"/>
        </w:rPr>
        <w:t xml:space="preserve">Name:  </w:t>
      </w:r>
      <w:r>
        <w:rPr>
          <w:sz w:val="22"/>
          <w:u w:val="single"/>
        </w:rPr>
        <w:tab/>
        <w:tab/>
        <w:tab/>
        <w:tab/>
        <w:tab/>
      </w:r>
    </w:p>
    <w:p>
      <w:pPr>
        <w:pStyle w:val="Normal"/>
        <w:keepLines/>
        <w:spacing w:lineRule="atLeast" w:line="240"/>
        <w:jc w:val="both"/>
        <w:rPr/>
      </w:pPr>
      <w:r>
        <w:rPr>
          <w:sz w:val="22"/>
        </w:rPr>
        <w:t xml:space="preserve">Title:  </w:t>
      </w:r>
      <w:r>
        <w:rPr>
          <w:sz w:val="22"/>
          <w:u w:val="single"/>
        </w:rPr>
        <w:tab/>
        <w:tab/>
        <w:tab/>
        <w:tab/>
        <w:tab/>
      </w:r>
    </w:p>
    <w:p>
      <w:pPr>
        <w:pStyle w:val="Normal"/>
        <w:keepLines/>
        <w:spacing w:lineRule="atLeast" w:line="240"/>
        <w:jc w:val="both"/>
        <w:rPr>
          <w:sz w:val="22"/>
        </w:rPr>
      </w:pPr>
      <w:r>
        <w:rPr>
          <w:sz w:val="22"/>
        </w:rPr>
        <w:t xml:space="preserve">Date:  </w:t>
      </w:r>
      <w:r>
        <w:rPr>
          <w:sz w:val="22"/>
          <w:u w:val="single"/>
        </w:rPr>
        <w:tab/>
        <w:tab/>
        <w:tab/>
        <w:tab/>
        <w:tab/>
      </w:r>
    </w:p>
    <w:p>
      <w:pPr>
        <w:pStyle w:val="Normal"/>
        <w:keepLines/>
        <w:spacing w:lineRule="exact" w:line="240"/>
        <w:jc w:val="both"/>
        <w:rPr>
          <w:sz w:val="22"/>
        </w:rPr>
      </w:pPr>
      <w:r>
        <w:rPr>
          <w:sz w:val="22"/>
        </w:rPr>
      </w:r>
    </w:p>
    <w:p>
      <w:pPr>
        <w:pStyle w:val="Normal"/>
        <w:keepNext w:val="true"/>
        <w:keepLines/>
        <w:spacing w:lineRule="exact" w:line="240"/>
        <w:jc w:val="both"/>
        <w:rPr>
          <w:sz w:val="22"/>
        </w:rPr>
      </w:pPr>
      <w:r>
        <w:rPr>
          <w:sz w:val="22"/>
        </w:rPr>
        <w:t>AQUILA BROADBAND SERVICES, INC.</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keepNext w:val="true"/>
        <w:keepLines/>
        <w:spacing w:lineRule="exact" w:line="240"/>
        <w:jc w:val="both"/>
        <w:rPr>
          <w:sz w:val="22"/>
        </w:rPr>
      </w:pPr>
      <w:r>
        <w:rPr>
          <w:sz w:val="22"/>
        </w:rPr>
        <w:t>Date:  _______________________</w:t>
      </w:r>
    </w:p>
    <w:p>
      <w:pPr>
        <w:pStyle w:val="Normal"/>
        <w:keepNext w:val="true"/>
        <w:keepLines/>
        <w:spacing w:lineRule="exact" w:line="240"/>
        <w:jc w:val="both"/>
        <w:rPr>
          <w:sz w:val="22"/>
        </w:rPr>
      </w:pPr>
      <w:r>
        <w:rPr>
          <w:sz w:val="22"/>
        </w:rPr>
      </w:r>
    </w:p>
    <w:p>
      <w:pPr>
        <w:pStyle w:val="Normal"/>
        <w:keepNext w:val="true"/>
        <w:rPr>
          <w:sz w:val="22"/>
        </w:rPr>
      </w:pPr>
      <w:r>
        <w:rPr>
          <w:sz w:val="22"/>
        </w:rPr>
        <w:t>AQUILA ENERGY LIMITED</w:t>
      </w:r>
    </w:p>
    <w:p>
      <w:pPr>
        <w:pStyle w:val="Normal"/>
        <w:keepNext w:val="true"/>
        <w:rPr>
          <w:sz w:val="22"/>
        </w:rPr>
      </w:pPr>
      <w:r>
        <w:rPr>
          <w:sz w:val="22"/>
        </w:rPr>
      </w:r>
    </w:p>
    <w:p>
      <w:pPr>
        <w:pStyle w:val="Normal"/>
        <w:keepNext w:val="true"/>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keepNext w:val="true"/>
        <w:rPr>
          <w:sz w:val="22"/>
        </w:rPr>
      </w:pPr>
      <w:r>
        <w:rPr>
          <w:sz w:val="22"/>
        </w:rPr>
        <w:t>Date:  _______________________</w:t>
      </w:r>
    </w:p>
    <w:p>
      <w:pPr>
        <w:pStyle w:val="Normal"/>
        <w:rPr>
          <w:sz w:val="22"/>
        </w:rPr>
      </w:pPr>
      <w:r>
        <w:rPr>
          <w:sz w:val="22"/>
        </w:rPr>
      </w:r>
    </w:p>
    <w:p>
      <w:pPr>
        <w:pStyle w:val="Normal"/>
        <w:rPr>
          <w:sz w:val="22"/>
        </w:rPr>
      </w:pPr>
      <w:r>
        <w:rPr>
          <w:sz w:val="22"/>
        </w:rPr>
        <w:t>AQUILA ENERGY INTERNATIONAL, LLC</w:t>
      </w:r>
    </w:p>
    <w:p>
      <w:pPr>
        <w:pStyle w:val="Normal"/>
        <w:rPr>
          <w:sz w:val="22"/>
        </w:rPr>
      </w:pPr>
      <w:r>
        <w:rPr>
          <w:sz w:val="22"/>
        </w:rPr>
      </w:r>
    </w:p>
    <w:p>
      <w:pPr>
        <w:pStyle w:val="Normal"/>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rPr>
          <w:sz w:val="22"/>
        </w:rPr>
      </w:pPr>
      <w:r>
        <w:rPr>
          <w:sz w:val="22"/>
        </w:rPr>
        <w:t>Date:  _______________________</w:t>
      </w:r>
    </w:p>
    <w:p>
      <w:pPr>
        <w:pStyle w:val="Normal"/>
        <w:rPr>
          <w:sz w:val="22"/>
        </w:rPr>
      </w:pPr>
      <w:r>
        <w:rPr>
          <w:sz w:val="22"/>
        </w:rPr>
      </w:r>
    </w:p>
    <w:p>
      <w:pPr>
        <w:pStyle w:val="Normal"/>
        <w:rPr>
          <w:sz w:val="22"/>
        </w:rPr>
      </w:pPr>
      <w:r>
        <w:rPr>
          <w:sz w:val="22"/>
        </w:rPr>
        <w:t>AQUILA ENERGY NORDIC A.S.</w:t>
      </w:r>
    </w:p>
    <w:p>
      <w:pPr>
        <w:pStyle w:val="Normal"/>
        <w:rPr>
          <w:sz w:val="22"/>
        </w:rPr>
      </w:pPr>
      <w:r>
        <w:rPr>
          <w:sz w:val="22"/>
        </w:rPr>
      </w:r>
    </w:p>
    <w:p>
      <w:pPr>
        <w:pStyle w:val="Normal"/>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rPr>
          <w:sz w:val="22"/>
        </w:rPr>
      </w:pPr>
      <w:r>
        <w:rPr>
          <w:sz w:val="22"/>
        </w:rPr>
        <w:t>Date:  _______________________</w:t>
      </w:r>
    </w:p>
    <w:p>
      <w:pPr>
        <w:pStyle w:val="Normal"/>
        <w:keepNext w:val="true"/>
        <w:keepLines/>
        <w:spacing w:lineRule="exact" w:line="240"/>
        <w:jc w:val="both"/>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gty2846.doc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ind w:hanging="0" w:start="0" w:end="180"/>
      <w:jc w:val="center"/>
      <w:outlineLvl w:val="4"/>
    </w:pPr>
    <w:rPr>
      <w:b/>
      <w:sz w:val="22"/>
      <w:szCs w:val="20"/>
      <w:u w:val="single"/>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szCs w:val="20"/>
      <w:u w:val="single"/>
    </w:rPr>
  </w:style>
  <w:style w:type="character" w:styleId="WW8Num1z0">
    <w:name w:val="WW8Num1z0"/>
    <w:qFormat/>
    <w:rPr>
      <w:sz w:val="22"/>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0"/>
    </w:rPr>
  </w:style>
  <w:style w:type="paragraph" w:styleId="Footer">
    <w:name w:val="footer"/>
    <w:basedOn w:val="Normal"/>
    <w:pPr>
      <w:widowControl w:val="false"/>
      <w:tabs>
        <w:tab w:val="clear" w:pos="720"/>
        <w:tab w:val="center" w:pos="4320" w:leader="none"/>
        <w:tab w:val="right" w:pos="8640" w:leader="none"/>
      </w:tabs>
    </w:pPr>
    <w:rPr>
      <w:sz w:val="22"/>
      <w:szCs w:val="20"/>
    </w:rPr>
  </w:style>
  <w:style w:type="paragraph" w:styleId="BodyTextIndent">
    <w:name w:val="Body Text Indent"/>
    <w:basedOn w:val="Normal"/>
    <w:pPr>
      <w:keepNext w:val="true"/>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2001-02-26T17:10:00Z</dcterms:created>
  <dc:creator>cstclai</dc:creator>
  <dc:description/>
  <dc:language>en-CA</dc:language>
  <cp:lastModifiedBy>crichar1</cp:lastModifiedBy>
  <cp:lastPrinted>2001-02-26T15:19:00Z</cp:lastPrinted>
  <dcterms:modified xsi:type="dcterms:W3CDTF">2001-02-26T18:49:00Z</dcterms:modified>
  <cp:revision>4</cp:revision>
  <dc:subject/>
  <dc:title>Guaranty</dc:title>
</cp:coreProperties>
</file>