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ENRON CORP.</w:t>
      </w:r>
    </w:p>
    <w:p>
      <w:pPr>
        <w:pStyle w:val="Heading"/>
        <w:rPr>
          <w:u w:val="none"/>
        </w:rPr>
      </w:pPr>
      <w:r>
        <w:rPr>
          <w:u w:val="none"/>
        </w:rPr>
      </w:r>
    </w:p>
    <w:p>
      <w:pPr>
        <w:pStyle w:val="Heading"/>
        <w:rPr/>
      </w:pPr>
      <w:r>
        <w:rPr/>
        <w:t>Guaranty</w:t>
      </w:r>
    </w:p>
    <w:p>
      <w:pPr>
        <w:pStyle w:val="Normal"/>
        <w:spacing w:lineRule="atLeast" w:line="240"/>
        <w:jc w:val="both"/>
        <w:rPr/>
      </w:pPr>
      <w:r>
        <w:rPr/>
      </w:r>
    </w:p>
    <w:p>
      <w:pPr>
        <w:pStyle w:val="Normal"/>
        <w:spacing w:lineRule="atLeast" w:line="240"/>
        <w:ind w:firstLine="720" w:end="0"/>
        <w:jc w:val="both"/>
        <w:rPr/>
      </w:pPr>
      <w:r>
        <w:rPr/>
        <w:t xml:space="preserve">This Guaranty Agreement (the "Guaranty"), dated effective as of September [___], 2000, is made and entered into by </w:t>
      </w:r>
      <w:r>
        <w:rPr>
          <w:caps/>
        </w:rPr>
        <w:t>Enron Corp.</w:t>
      </w:r>
      <w:r>
        <w:rPr/>
        <w:t>, an Oregon corporation ("Guarantor") in favor of  ROYAL BANK OF CANADA.</w:t>
      </w:r>
    </w:p>
    <w:p>
      <w:pPr>
        <w:pStyle w:val="Normal"/>
        <w:spacing w:lineRule="atLeast" w:line="240"/>
        <w:ind w:firstLine="720" w:end="0"/>
        <w:jc w:val="both"/>
        <w:rPr/>
      </w:pPr>
      <w:r>
        <w:rPr/>
      </w:r>
    </w:p>
    <w:p>
      <w:pPr>
        <w:pStyle w:val="Normal"/>
        <w:spacing w:lineRule="atLeast" w:line="240"/>
        <w:ind w:firstLine="720" w:end="0"/>
        <w:jc w:val="both"/>
        <w:rPr>
          <w:sz w:val="23"/>
        </w:rPr>
      </w:pPr>
      <w:r>
        <w:rPr/>
        <w:t xml:space="preserve">WHEREAS, ROYAL BANK OF CANADA, a Schedule I Bank under the Bank Act (Canada) ("Counterparty") and ENRON CANADA CORP. (the “Company"), an indirect wholly-owned subsidiary of Guarantor, are contemplating entering into a Swap Transaction pursuant to the ISDA Master Agreement dated as of the effective date hereof, a copy of which is attached hereto as </w:t>
      </w:r>
      <w:r>
        <w:rPr>
          <w:u w:val="single"/>
        </w:rPr>
        <w:t>Exhibit "A</w:t>
      </w:r>
      <w:r>
        <w:rPr/>
        <w:t xml:space="preserve">" (such Agreement, (including the Swap Transaction Confirmation) as the same may from time to time be modified, amended and supplemented, shall be referred to herein as the "Contract"); and Guarantor will directly or indirectly benefit from the transactions to be entered into between the Company and Counterparty. </w:t>
      </w:r>
    </w:p>
    <w:p>
      <w:pPr>
        <w:pStyle w:val="Normal"/>
        <w:spacing w:lineRule="atLeast" w:line="240"/>
        <w:ind w:firstLine="720" w:end="0"/>
        <w:jc w:val="both"/>
        <w:rPr>
          <w:sz w:val="23"/>
        </w:rPr>
      </w:pPr>
      <w:r>
        <w:rPr>
          <w:sz w:val="23"/>
        </w:rPr>
      </w:r>
    </w:p>
    <w:p>
      <w:pPr>
        <w:pStyle w:val="Normal"/>
        <w:keepLines/>
        <w:ind w:firstLine="720" w:end="0"/>
        <w:jc w:val="both"/>
        <w:rPr/>
      </w:pPr>
      <w:r>
        <w:rPr/>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jc w:val="both"/>
        <w:rPr/>
      </w:pPr>
      <w:r>
        <w:rPr/>
      </w:r>
    </w:p>
    <w:p>
      <w:pPr>
        <w:pStyle w:val="Normal"/>
        <w:jc w:val="both"/>
        <w:rPr/>
      </w:pPr>
      <w:r>
        <w:rPr/>
        <w:tab/>
        <w:t xml:space="preserve"> "</w:t>
      </w:r>
      <w:r>
        <w:rPr>
          <w:u w:val="single"/>
        </w:rPr>
        <w:t>Business Day"</w:t>
      </w:r>
      <w:r>
        <w:rPr/>
        <w:t xml:space="preserve"> means any day of the year except Saturday, Sunday and any day on which banks are required or authorized to close in Houston, Texas or New York City.</w:t>
      </w:r>
    </w:p>
    <w:p>
      <w:pPr>
        <w:pStyle w:val="Normal"/>
        <w:jc w:val="both"/>
        <w:rPr/>
      </w:pPr>
      <w:r>
        <w:rPr/>
      </w:r>
    </w:p>
    <w:p>
      <w:pPr>
        <w:pStyle w:val="Normal"/>
        <w:jc w:val="both"/>
        <w:rPr/>
      </w:pPr>
      <w:r>
        <w:rPr/>
        <w:tab/>
        <w:t>"</w:t>
      </w:r>
      <w:r>
        <w:rPr>
          <w:u w:val="single"/>
        </w:rPr>
        <w:t>Code</w:t>
      </w:r>
      <w:r>
        <w:rPr/>
        <w:t>" means the Internal Revenue Code of 1986, as amended from time to time, or any successor Federal tax code, and any reference to any statutory provision of the Code shall be deemed to be a reference to any successor provision or provisions.</w:t>
      </w:r>
    </w:p>
    <w:p>
      <w:pPr>
        <w:pStyle w:val="Normal"/>
        <w:jc w:val="both"/>
        <w:rPr/>
      </w:pPr>
      <w:r>
        <w:rPr/>
      </w:r>
    </w:p>
    <w:p>
      <w:pPr>
        <w:pStyle w:val="Normal"/>
        <w:jc w:val="both"/>
        <w:rPr/>
      </w:pPr>
      <w:r>
        <w:rPr/>
        <w:tab/>
        <w:t>"</w:t>
      </w:r>
      <w:r>
        <w:rPr>
          <w:u w:val="single"/>
        </w:rPr>
        <w:t>Consolidated</w:t>
      </w:r>
      <w:r>
        <w:rPr/>
        <w:t>" refers to the consolidation of the accounts of the Guarantor and its Subsidiaries in accordance with GAAP.</w:t>
      </w:r>
    </w:p>
    <w:p>
      <w:pPr>
        <w:pStyle w:val="Normal"/>
        <w:jc w:val="both"/>
        <w:rPr/>
      </w:pPr>
      <w:r>
        <w:rPr/>
      </w:r>
    </w:p>
    <w:p>
      <w:pPr>
        <w:pStyle w:val="Normal"/>
        <w:jc w:val="both"/>
        <w:rPr/>
      </w:pPr>
      <w:r>
        <w:rPr/>
        <w:tab/>
        <w:t>"</w:t>
      </w:r>
      <w:r>
        <w:rPr>
          <w:u w:val="single"/>
        </w:rPr>
        <w:t>Consolidated Net Worth</w:t>
      </w:r>
      <w:r>
        <w:rPr/>
        <w:t>" means at any date the Consolidated stockholders' equity of the Guarantor and its Consolidated Subsidiaries (excluding any Redeemable Preferred Stock of the Guarantor).</w:t>
      </w:r>
    </w:p>
    <w:p>
      <w:pPr>
        <w:pStyle w:val="Normal"/>
        <w:jc w:val="both"/>
        <w:rPr/>
      </w:pPr>
      <w:r>
        <w:rPr/>
      </w:r>
    </w:p>
    <w:p>
      <w:pPr>
        <w:pStyle w:val="Normal"/>
        <w:jc w:val="both"/>
        <w:rPr/>
      </w:pPr>
      <w:r>
        <w:rPr/>
        <w:tab/>
        <w:tab/>
        <w:t>"</w:t>
      </w:r>
      <w:r>
        <w:rPr>
          <w:u w:val="single"/>
        </w:rPr>
        <w:t>Debt</w:t>
      </w:r>
      <w:r>
        <w:rPr/>
        <w:t xml:space="preserve">" of any Person means, at any date, without duplication, its (a) obligations for the repayment of money borrowed which are or should be shown on a balance sheet as debt in accordance with GAAP, (b) obligations as lessee under leases which, in accordance with GAAP, are capital leases, and (c) guaranties of payment or collection of any obligations described in clauses (a) and (b) of other Persons, </w:t>
      </w:r>
      <w:r>
        <w:rPr>
          <w:u w:val="single"/>
        </w:rPr>
        <w:t>provided</w:t>
      </w:r>
      <w:r>
        <w:rPr/>
        <w:t xml:space="preserve">, </w:t>
      </w:r>
      <w:r>
        <w:rPr>
          <w:u w:val="single"/>
        </w:rPr>
        <w:t>that</w:t>
      </w:r>
      <w:r>
        <w:rPr/>
        <w:t xml:space="preserve"> clauses (a) and (b) include, in the case of obligations of the Guarantor or any Subsidiary, only such obligations as are or should be shown as debt or capital lease liabilities on a Consolidated balance sheet in accordance with GAAP; </w:t>
      </w:r>
      <w:r>
        <w:rPr>
          <w:u w:val="single"/>
        </w:rPr>
        <w:t>provided</w:t>
      </w:r>
      <w:r>
        <w:rPr/>
        <w:t xml:space="preserve">, </w:t>
      </w:r>
      <w:r>
        <w:rPr>
          <w:u w:val="single"/>
        </w:rPr>
        <w:t>further</w:t>
      </w:r>
      <w:r>
        <w:rPr/>
        <w:t>, that the liability of any Person as a general partner of a partnership for Debt of such partnership, if such partnership is not a Subsidiary of such Person, shall not constitute Debt.</w:t>
      </w:r>
    </w:p>
    <w:p>
      <w:pPr>
        <w:pStyle w:val="Normal"/>
        <w:jc w:val="both"/>
        <w:rPr/>
      </w:pPr>
      <w:r>
        <w:rPr/>
      </w:r>
    </w:p>
    <w:p>
      <w:pPr>
        <w:pStyle w:val="Normal"/>
        <w:jc w:val="both"/>
        <w:rPr/>
      </w:pPr>
      <w:r>
        <w:rPr/>
        <w:tab/>
        <w:t>"</w:t>
      </w:r>
      <w:r>
        <w:rPr>
          <w:u w:val="single"/>
        </w:rPr>
        <w:t>ERISA</w:t>
      </w:r>
      <w:r>
        <w:rPr/>
        <w:t>" means the Employee Retirement Income Security Act of 1974, as amended from time to time, and any successor statute of similar import, together with the regulations thereunder, as in effect from time to time.</w:t>
      </w:r>
    </w:p>
    <w:p>
      <w:pPr>
        <w:pStyle w:val="Normal"/>
        <w:jc w:val="both"/>
        <w:rPr/>
      </w:pPr>
      <w:r>
        <w:rPr/>
      </w:r>
    </w:p>
    <w:p>
      <w:pPr>
        <w:pStyle w:val="Normal"/>
        <w:jc w:val="both"/>
        <w:rPr/>
      </w:pPr>
      <w:r>
        <w:rPr/>
        <w:tab/>
        <w:t>"</w:t>
      </w:r>
      <w:r>
        <w:rPr>
          <w:u w:val="single"/>
        </w:rPr>
        <w:t>ERISA Affiliate</w:t>
      </w:r>
      <w:r>
        <w:rPr/>
        <w:t>" means any trade or business (whether or not incorporated) which is a member of a group of which the Guarantor is a member and which is under common control within the meaning of the regulations under Section 414 of the Code.</w:t>
      </w:r>
    </w:p>
    <w:p>
      <w:pPr>
        <w:pStyle w:val="Normal"/>
        <w:jc w:val="both"/>
        <w:rPr/>
      </w:pPr>
      <w:r>
        <w:rPr/>
      </w:r>
    </w:p>
    <w:p>
      <w:pPr>
        <w:pStyle w:val="Normal"/>
        <w:jc w:val="both"/>
        <w:rPr/>
      </w:pPr>
      <w:r>
        <w:rPr/>
        <w:tab/>
        <w:t>"</w:t>
      </w:r>
      <w:r>
        <w:rPr>
          <w:u w:val="single"/>
        </w:rPr>
        <w:t>GAAP</w:t>
      </w:r>
      <w:r>
        <w:rPr/>
        <w:t>" means United States generally accepted accounting principles and policies consistent with those applied in the preparation of the audited consolidated financial statements referred to in Section 3.01(d).</w:t>
      </w:r>
    </w:p>
    <w:p>
      <w:pPr>
        <w:pStyle w:val="Normal"/>
        <w:jc w:val="both"/>
        <w:rPr/>
      </w:pPr>
      <w:r>
        <w:rPr/>
      </w:r>
    </w:p>
    <w:p>
      <w:pPr>
        <w:pStyle w:val="Normal"/>
        <w:jc w:val="both"/>
        <w:rPr/>
      </w:pPr>
      <w:r>
        <w:rPr/>
        <w:tab/>
        <w:t>"</w:t>
      </w:r>
      <w:r>
        <w:rPr>
          <w:u w:val="single"/>
        </w:rPr>
        <w:t>Guaranteed Obligation</w:t>
      </w:r>
      <w:r>
        <w:rPr/>
        <w:t>s" means all amounts owed from time to time by the Company to the Counterparty pursuant to the Contract.</w:t>
      </w:r>
    </w:p>
    <w:p>
      <w:pPr>
        <w:pStyle w:val="Normal"/>
        <w:jc w:val="both"/>
        <w:rPr/>
      </w:pPr>
      <w:r>
        <w:rPr/>
      </w:r>
    </w:p>
    <w:p>
      <w:pPr>
        <w:pStyle w:val="Normal"/>
        <w:jc w:val="both"/>
        <w:rPr/>
      </w:pPr>
      <w:r>
        <w:rPr/>
        <w:tab/>
        <w:t>"</w:t>
      </w:r>
      <w:r>
        <w:rPr>
          <w:u w:val="single"/>
        </w:rPr>
        <w:t>Guarantor</w:t>
      </w:r>
      <w:r>
        <w:rPr/>
        <w:t>" means the Person specified as the "Guarantor" in the introductory paragraph of this Guaranty until a Successor Person shall have become the Guarantor pursuant to the last sentence of Section 6.03 hereof, and thereafter "Guarantor" shall mean such Successor Person.</w:t>
      </w:r>
    </w:p>
    <w:p>
      <w:pPr>
        <w:pStyle w:val="Normal"/>
        <w:jc w:val="both"/>
        <w:rPr/>
      </w:pPr>
      <w:r>
        <w:rPr/>
      </w:r>
    </w:p>
    <w:p>
      <w:pPr>
        <w:pStyle w:val="Normal"/>
        <w:jc w:val="both"/>
        <w:rPr/>
      </w:pPr>
      <w:r>
        <w:rPr/>
        <w:tab/>
        <w:t>"</w:t>
      </w:r>
      <w:r>
        <w:rPr>
          <w:u w:val="single"/>
        </w:rPr>
        <w:t>Guarantor Default</w:t>
      </w:r>
      <w:r>
        <w:rPr/>
        <w:t>" means an event which, with the giving of notice or lapse of time, or both, would become a Guarantor Event of Default.</w:t>
      </w:r>
    </w:p>
    <w:p>
      <w:pPr>
        <w:pStyle w:val="Normal"/>
        <w:jc w:val="both"/>
        <w:rPr/>
      </w:pPr>
      <w:r>
        <w:rPr/>
      </w:r>
    </w:p>
    <w:p>
      <w:pPr>
        <w:pStyle w:val="Normal"/>
        <w:jc w:val="both"/>
        <w:rPr/>
      </w:pPr>
      <w:r>
        <w:rPr/>
        <w:tab/>
        <w:t>"</w:t>
      </w:r>
      <w:r>
        <w:rPr>
          <w:u w:val="single"/>
        </w:rPr>
        <w:t>Guarantor Event of Default</w:t>
      </w:r>
      <w:r>
        <w:rPr/>
        <w:t>" has the meaning specified in Section 5.01 of this Guaranty.</w:t>
      </w:r>
    </w:p>
    <w:p>
      <w:pPr>
        <w:pStyle w:val="Normal"/>
        <w:jc w:val="both"/>
        <w:rPr/>
      </w:pPr>
      <w:r>
        <w:rPr/>
      </w:r>
    </w:p>
    <w:p>
      <w:pPr>
        <w:pStyle w:val="Normal"/>
        <w:jc w:val="both"/>
        <w:rPr/>
      </w:pPr>
      <w:r>
        <w:rPr/>
        <w:tab/>
        <w:t>"</w:t>
      </w:r>
      <w:r>
        <w:rPr>
          <w:u w:val="single"/>
        </w:rPr>
        <w:t>Guarantor Indenture</w:t>
      </w:r>
      <w:r>
        <w:rPr/>
        <w:t>" means that certain indenture dated as of November 1, 1985, between the Guarantor (formerly InterNorth, Inc.) and The Bank of New York, as successor in interest to Harris Trust and Savings Bank, as Trustee, as supplemented and amended by the First Supplemental Indenture dated as of December 1, 1995, the Supplemental Indenture, dated as of May 8, 1997, by and among Enron Corp., a Delaware corporation, the Guarantor and Harris Trust and Savings Bank, as Trustee, the Third Supplemental Indenture, dated as of September 1, 1997, between the Guarantor and Harris Trust and Savings Bank, as Trustee, and the Fourth Supplemental Indenture, dated as of August 17, 1999, between the Guarantor and Harris Trust and Savings Bank, as Trustee, without giving effect to any further amendment or modification thereof.</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Insufficiency</w:t>
      </w:r>
      <w:r>
        <w:rPr/>
        <w:t>" means, with respect to any Plan, the amount, if any, by which the present value of the accrued benefits under such Plan exceeds the fair market value of the assets of such Plan allocable to such benefits.</w:t>
      </w:r>
    </w:p>
    <w:p>
      <w:pPr>
        <w:pStyle w:val="Normal"/>
        <w:jc w:val="both"/>
        <w:rPr/>
      </w:pPr>
      <w:r>
        <w:rPr/>
      </w:r>
    </w:p>
    <w:p>
      <w:pPr>
        <w:pStyle w:val="Normal"/>
        <w:ind w:firstLine="720" w:end="0"/>
        <w:jc w:val="both"/>
        <w:rPr/>
      </w:pPr>
      <w:r>
        <w:rPr/>
        <w:t>"</w:t>
      </w:r>
      <w:r>
        <w:rPr>
          <w:u w:val="single"/>
        </w:rPr>
        <w:t>Judgement Currency</w:t>
      </w:r>
      <w:r>
        <w:rPr/>
        <w:t xml:space="preserve">" has the meaning specified in </w:t>
      </w:r>
      <w:r>
        <w:rPr>
          <w:u w:val="single"/>
        </w:rPr>
        <w:t>Section 6.08</w:t>
      </w:r>
      <w:r>
        <w:rPr/>
        <w:t xml:space="preserve"> of this Guaranty.</w:t>
      </w:r>
    </w:p>
    <w:p>
      <w:pPr>
        <w:pStyle w:val="Normal"/>
        <w:jc w:val="both"/>
        <w:rPr/>
      </w:pPr>
      <w:r>
        <w:rPr/>
      </w:r>
    </w:p>
    <w:p>
      <w:pPr>
        <w:pStyle w:val="Normal"/>
        <w:jc w:val="both"/>
        <w:rPr/>
      </w:pPr>
      <w:r>
        <w:rPr/>
        <w:tab/>
        <w:t>"</w:t>
      </w:r>
      <w:r>
        <w:rPr>
          <w:u w:val="single"/>
        </w:rPr>
        <w:t>Moody's</w:t>
      </w:r>
      <w:r>
        <w:rPr/>
        <w:t>" means Moody's Investors Service, Inc.</w:t>
      </w:r>
    </w:p>
    <w:p>
      <w:pPr>
        <w:pStyle w:val="Normal"/>
        <w:jc w:val="both"/>
        <w:rPr/>
      </w:pPr>
      <w:r>
        <w:rPr/>
      </w:r>
    </w:p>
    <w:p>
      <w:pPr>
        <w:pStyle w:val="Normal"/>
        <w:jc w:val="both"/>
        <w:rPr/>
      </w:pPr>
      <w:r>
        <w:rPr/>
        <w:tab/>
        <w:t>"</w:t>
      </w:r>
      <w:r>
        <w:rPr>
          <w:u w:val="single"/>
        </w:rPr>
        <w:t>Multiemployer Plan</w:t>
      </w:r>
      <w:r>
        <w:rPr/>
        <w:t>" means a "multiemployer plan" as defined in Section 4001(a)(3) of ERISA to which the Guarantor or any ERISA Affiliate is making or accruing an obligation to make contributions, or has within any of the preceding five plan years made or accrued an obligation to make contributions.</w:t>
      </w:r>
    </w:p>
    <w:p>
      <w:pPr>
        <w:pStyle w:val="Normal"/>
        <w:jc w:val="both"/>
        <w:rPr/>
      </w:pPr>
      <w:r>
        <w:rPr/>
      </w:r>
    </w:p>
    <w:p>
      <w:pPr>
        <w:pStyle w:val="Normal"/>
        <w:jc w:val="both"/>
        <w:rPr/>
      </w:pPr>
      <w:r>
        <w:rPr/>
        <w:tab/>
        <w:t>"</w:t>
      </w:r>
      <w:r>
        <w:rPr>
          <w:u w:val="single"/>
        </w:rPr>
        <w:t>Multiple Employer Plan</w:t>
      </w:r>
      <w:r>
        <w:rPr/>
        <w:t>" means an employee benefit plan, other than a Multiemployer Plan, subject to Title IV of ERISA to which the Guarantor or any ERISA Affiliate, and more than one employer other than the Guarantor or an ERISA Affiliate, is making or accruing an obligation to make contributions or, in the event that any such plan has been terminated, to which the Guarantor or any ERISA Affiliate made or accrued an obligation to make contributions during any of the five plan years preceding the date of termination of such plan.</w:t>
      </w:r>
    </w:p>
    <w:p>
      <w:pPr>
        <w:pStyle w:val="Normal"/>
        <w:jc w:val="both"/>
        <w:rPr/>
      </w:pPr>
      <w:r>
        <w:rPr/>
      </w:r>
    </w:p>
    <w:p>
      <w:pPr>
        <w:pStyle w:val="Normal"/>
        <w:jc w:val="both"/>
        <w:rPr/>
      </w:pPr>
      <w:r>
        <w:rPr/>
        <w:tab/>
        <w:t>"</w:t>
      </w:r>
      <w:r>
        <w:rPr>
          <w:u w:val="single"/>
        </w:rPr>
        <w:t>Notice</w:t>
      </w:r>
      <w:r>
        <w:rPr/>
        <w:t xml:space="preserve">" has the meaning specified in </w:t>
      </w:r>
      <w:r>
        <w:rPr>
          <w:u w:val="single"/>
        </w:rPr>
        <w:t>Section 6.01</w:t>
      </w:r>
      <w:r>
        <w:rPr/>
        <w:t xml:space="preserve"> of this Guaranty.</w:t>
      </w:r>
    </w:p>
    <w:p>
      <w:pPr>
        <w:pStyle w:val="Normal"/>
        <w:jc w:val="both"/>
        <w:rPr/>
      </w:pPr>
      <w:r>
        <w:rPr/>
      </w:r>
    </w:p>
    <w:p>
      <w:pPr>
        <w:pStyle w:val="Normal"/>
        <w:jc w:val="both"/>
        <w:rPr/>
      </w:pPr>
      <w:r>
        <w:rPr/>
        <w:tab/>
        <w:t>"</w:t>
      </w:r>
      <w:r>
        <w:rPr>
          <w:u w:val="single"/>
        </w:rPr>
        <w:t>PBGC</w:t>
      </w:r>
      <w:r>
        <w:rPr/>
        <w:t>" means the Pension Benefit Guaranty Corporation, or any Federal agency or authority of the United States from time to time succeeding to its function.</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 or any trustee, receiver, custodian or similar official.</w:t>
      </w:r>
    </w:p>
    <w:p>
      <w:pPr>
        <w:pStyle w:val="Normal"/>
        <w:jc w:val="both"/>
        <w:rPr/>
      </w:pPr>
      <w:r>
        <w:rPr/>
      </w:r>
    </w:p>
    <w:p>
      <w:pPr>
        <w:pStyle w:val="Normal"/>
        <w:jc w:val="both"/>
        <w:rPr/>
      </w:pPr>
      <w:r>
        <w:rPr/>
        <w:tab/>
        <w:t>"</w:t>
      </w:r>
      <w:r>
        <w:rPr>
          <w:u w:val="single"/>
        </w:rPr>
        <w:t>Plan</w:t>
      </w:r>
      <w:r>
        <w:rPr/>
        <w:t>" means an employee benefit plan (other than a Multiemployer Plan) which is (or, in the event that any such plan has been terminated within five years after a transaction described in Section 4069 of ERISA, was) maintained for employees of the Guarantor or any ERISA Affiliate and covered by Title IV of ERISA.</w:t>
      </w:r>
    </w:p>
    <w:p>
      <w:pPr>
        <w:pStyle w:val="Normal"/>
        <w:jc w:val="both"/>
        <w:rPr/>
      </w:pPr>
      <w:r>
        <w:rPr/>
        <w:tab/>
      </w:r>
    </w:p>
    <w:p>
      <w:pPr>
        <w:pStyle w:val="Normal"/>
        <w:jc w:val="both"/>
        <w:rPr/>
      </w:pPr>
      <w:r>
        <w:rPr/>
        <w:tab/>
        <w:t>"</w:t>
      </w:r>
      <w:r>
        <w:rPr>
          <w:u w:val="single"/>
        </w:rPr>
        <w:t>Preferred Stock</w:t>
      </w:r>
      <w:r>
        <w:rPr/>
        <w:t>" means, as applied to any Person, shares of capital stock or other ownership interest of such Person which shall be entitled to preference or priority over any other shares of capital stock or other ownership interest of such Person in respect of either the payment of dividends or the distribution of assets upon liquidation.</w:t>
      </w:r>
    </w:p>
    <w:p>
      <w:pPr>
        <w:pStyle w:val="Normal"/>
        <w:jc w:val="both"/>
        <w:rPr/>
      </w:pPr>
      <w:r>
        <w:rPr/>
      </w:r>
    </w:p>
    <w:p>
      <w:pPr>
        <w:pStyle w:val="Normal"/>
        <w:jc w:val="both"/>
        <w:rPr/>
      </w:pPr>
      <w:r>
        <w:rPr/>
        <w:tab/>
        <w:t>"</w:t>
      </w:r>
      <w:r>
        <w:rPr>
          <w:u w:val="single"/>
        </w:rPr>
        <w:t>Principal Subsidiary</w:t>
      </w:r>
      <w:r>
        <w:rPr/>
        <w:t>"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w:t>
      </w:r>
    </w:p>
    <w:p>
      <w:pPr>
        <w:pStyle w:val="Normal"/>
        <w:jc w:val="both"/>
        <w:rPr/>
      </w:pPr>
      <w:r>
        <w:rPr/>
      </w:r>
    </w:p>
    <w:p>
      <w:pPr>
        <w:pStyle w:val="Normal"/>
        <w:jc w:val="both"/>
        <w:rPr/>
      </w:pPr>
      <w:r>
        <w:rPr/>
        <w:tab/>
        <w:t>"</w:t>
      </w:r>
      <w:r>
        <w:rPr>
          <w:u w:val="single"/>
        </w:rPr>
        <w:t>Redeemable</w:t>
      </w:r>
      <w:r>
        <w:rPr/>
        <w:t>" means, as applied to any Preferred Stock, any Preferred Stock which (a)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(b) is redeemable at the option of the holder.</w:t>
      </w:r>
    </w:p>
    <w:p>
      <w:pPr>
        <w:pStyle w:val="Normal"/>
        <w:jc w:val="both"/>
        <w:rPr/>
      </w:pPr>
      <w:r>
        <w:rPr/>
      </w:r>
    </w:p>
    <w:p>
      <w:pPr>
        <w:pStyle w:val="Normal"/>
        <w:jc w:val="both"/>
        <w:rPr/>
      </w:pPr>
      <w:r>
        <w:rPr/>
        <w:tab/>
        <w:t>"</w:t>
      </w:r>
      <w:r>
        <w:rPr>
          <w:u w:val="single"/>
        </w:rPr>
        <w:t>S&amp;P</w:t>
      </w:r>
      <w:r>
        <w:rPr/>
        <w:t>" means Standard &amp; Poor's Ratings Group, a division of McGraw</w:t>
        <w:noBreakHyphen/>
        <w:t>Hill, Inc. on the date hereof.</w:t>
      </w:r>
    </w:p>
    <w:p>
      <w:pPr>
        <w:pStyle w:val="Normal"/>
        <w:jc w:val="both"/>
        <w:rPr/>
      </w:pPr>
      <w:r>
        <w:rPr/>
      </w:r>
    </w:p>
    <w:p>
      <w:pPr>
        <w:pStyle w:val="Normal"/>
        <w:jc w:val="both"/>
        <w:rPr/>
      </w:pPr>
      <w:r>
        <w:rPr/>
        <w:tab/>
        <w:t>"</w:t>
      </w:r>
      <w:r>
        <w:rPr>
          <w:u w:val="single"/>
        </w:rPr>
        <w:t>Subordinated Debt</w:t>
      </w:r>
      <w:r>
        <w:rPr/>
        <w:t>" means, (a) the 8.25% Senior Subordinated Debentures due 2012 and the 6 3/4% Senior Subordinated Debentures due July 1, 2005 of the Guarantor issued pursuant to the Indenture dated as of February 1, 1987 between the Guarantor and NationsBank of Texas, N.A., as trustee, (b) the obligations of Guarantor under the Loan Agreement dated as of November 15, 1993, between Guarantor and Enron Capital L.L.C., (c) the obligations of Guarantor under the Loan Agreement dated as of August 3, 1994, between Guarantor and Enron Capital Resources, L.P., (d) the 7.75% Subordinated Debentures due 2016 of the Guarantor issued pursuant to the Indenture dated as of November 21, 1996 between the Guarantor and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 ) than the terms of such Senior Subordinated Debentures due 2012 of the Guarantor or (y) consented to by the Beneficiaries (which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p>
    <w:p>
      <w:pPr>
        <w:pStyle w:val="Normal"/>
        <w:jc w:val="both"/>
        <w:rPr/>
      </w:pPr>
      <w:r>
        <w:rPr/>
      </w:r>
    </w:p>
    <w:p>
      <w:pPr>
        <w:pStyle w:val="Normal"/>
        <w:jc w:val="both"/>
        <w:rPr/>
      </w:pPr>
      <w:r>
        <w:rPr/>
        <w:tab/>
        <w:t>"</w:t>
      </w:r>
      <w:r>
        <w:rPr>
          <w:u w:val="single"/>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the Guarantor; </w:t>
      </w:r>
      <w:r>
        <w:rPr>
          <w:u w:val="single"/>
        </w:rPr>
        <w:t>provided</w:t>
      </w:r>
      <w:r>
        <w:rPr/>
        <w:t xml:space="preserve">, </w:t>
      </w:r>
      <w:r>
        <w:rPr>
          <w:u w:val="single"/>
        </w:rPr>
        <w:t>however</w:t>
      </w:r>
      <w:r>
        <w:rPr/>
        <w:t>,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jc w:val="both"/>
        <w:rPr/>
      </w:pPr>
      <w:r>
        <w:rPr/>
      </w:r>
    </w:p>
    <w:p>
      <w:pPr>
        <w:pStyle w:val="Normal"/>
        <w:jc w:val="both"/>
        <w:rPr/>
      </w:pPr>
      <w:r>
        <w:rPr/>
        <w:tab/>
        <w:t>"</w:t>
      </w:r>
      <w:r>
        <w:rPr>
          <w:u w:val="single"/>
        </w:rPr>
        <w:t>Termination Event</w:t>
      </w:r>
      <w:r>
        <w:rPr/>
        <w:t>" means (a) a "reportable event", as such term is described in Section 4043 of ERISA (other than a "reportable event" not subject to the provision for 30</w:t>
        <w:noBreakHyphen/>
        <w:t>day notice to the PBGC), or an event described in Section 4062(e) of ERISA, or (b) the withdrawal of the Guarantor or any ERISA Affiliate from a Multiple Employer Plan during a plan year in which it was a "substantial employer", as such term is defined in Section 4001(a)(2) of ERISA, or the incurrence of liability by the Guarantor or any ERISA Affiliate under Section 4064 of ERISA upon the termination of a Multiple Employer Plan, or (c) the distribution of a notice of intent to terminate a Plan pursuant to Section 4041(a)(2) of ERISA or the treatment of a Plan amendment as a termination under Section 4041 of ERISA, or (d) the institution of proceedings to terminate a Plan by the PBGC under Section 4042 of ERISA, or (e) any other event or condition which might constitute grounds under Section 4042 of ERISA for the termination of, or the appointment of a trustee to administer, any Plan.</w:t>
      </w:r>
    </w:p>
    <w:p>
      <w:pPr>
        <w:pStyle w:val="Normal"/>
        <w:jc w:val="both"/>
        <w:rPr/>
      </w:pPr>
      <w:r>
        <w:rPr/>
      </w:r>
    </w:p>
    <w:p>
      <w:pPr>
        <w:pStyle w:val="Normal"/>
        <w:jc w:val="both"/>
        <w:rPr/>
      </w:pPr>
      <w:r>
        <w:rPr/>
        <w:tab/>
        <w:t>"</w:t>
      </w:r>
      <w:r>
        <w:rPr>
          <w:u w:val="single"/>
        </w:rPr>
        <w:t>Successor Person</w:t>
      </w:r>
      <w:r>
        <w:rPr/>
        <w:t>" has the meaning specified in Section 6.03 hereof.</w:t>
      </w:r>
    </w:p>
    <w:p>
      <w:pPr>
        <w:pStyle w:val="Normal"/>
        <w:jc w:val="both"/>
        <w:rPr/>
      </w:pPr>
      <w:r>
        <w:rPr/>
      </w:r>
    </w:p>
    <w:p>
      <w:pPr>
        <w:pStyle w:val="Normal"/>
        <w:jc w:val="both"/>
        <w:rPr/>
      </w:pPr>
      <w:r>
        <w:rPr/>
        <w:tab/>
        <w:t>"</w:t>
      </w:r>
      <w:r>
        <w:rPr>
          <w:u w:val="single"/>
        </w:rPr>
        <w:t>Total Capitalization</w:t>
      </w:r>
      <w:r>
        <w:rPr/>
        <w:t>" means, at any time, the sum (without duplication) of (a) Total Senior Debt, (b) the total outstanding principal amount (or the book carrying amount of such Debt if issued at a discount) of Subordinated Debt of the Guarantor and its Consolidated Subsidiaries, (c) Consolidated Net Worth less any amount thereof attributable to "minority interests" (as defined below), and (d) Redeemable Preferred Stock of the Guarantor and its Consolidated Subsidiaries.  For the purpose of this definition, "minority interests" means any investment or interest of the Guarantor in any corporation, partnership or other entity to the extent that the total amount thereof owned by the Guarantor (directly or indirectly) constitutes 50% or less of all outstanding interests or investments in such corporation, partnership or entity.</w:t>
      </w:r>
    </w:p>
    <w:p>
      <w:pPr>
        <w:pStyle w:val="Normal"/>
        <w:jc w:val="both"/>
        <w:rPr/>
      </w:pPr>
      <w:r>
        <w:rPr/>
      </w:r>
    </w:p>
    <w:p>
      <w:pPr>
        <w:pStyle w:val="Normal"/>
        <w:jc w:val="both"/>
        <w:rPr/>
      </w:pPr>
      <w:r>
        <w:rPr/>
        <w:tab/>
        <w:t>"</w:t>
      </w:r>
      <w:r>
        <w:rPr>
          <w:u w:val="single"/>
        </w:rPr>
        <w:t>Total Senior Debt</w:t>
      </w:r>
      <w:r>
        <w:rPr/>
        <w:t>" means, at and any time, all Consolidated Debt of the Guarantor and its Consolidated Subsidiaries other than Subordinated Debt.</w:t>
      </w:r>
    </w:p>
    <w:p>
      <w:pPr>
        <w:pStyle w:val="Normal"/>
        <w:jc w:val="both"/>
        <w:rPr/>
      </w:pPr>
      <w:r>
        <w:rPr/>
      </w:r>
    </w:p>
    <w:p>
      <w:pPr>
        <w:pStyle w:val="Normal"/>
        <w:jc w:val="both"/>
        <w:rPr/>
      </w:pPr>
      <w:r>
        <w:rPr/>
        <w:tab/>
        <w:t>"</w:t>
      </w:r>
      <w:r>
        <w:rPr>
          <w:u w:val="single"/>
        </w:rPr>
        <w:t>Withdrawal Liability</w:t>
      </w:r>
      <w:r>
        <w:rPr/>
        <w:t>" shall have the meaning given such term under Part I of Subtitle E of Title IV of ERISA.</w:t>
      </w:r>
    </w:p>
    <w:p>
      <w:pPr>
        <w:pStyle w:val="Normal"/>
        <w:jc w:val="both"/>
        <w:rPr/>
      </w:pPr>
      <w:r>
        <w:rPr/>
      </w:r>
    </w:p>
    <w:p>
      <w:pPr>
        <w:pStyle w:val="Normal"/>
        <w:jc w:val="both"/>
        <w:rPr/>
      </w:pPr>
      <w:r>
        <w:rPr/>
        <w:tab/>
        <w:t>Section 1.02</w:t>
        <w:tab/>
      </w:r>
      <w:r>
        <w:rPr>
          <w:u w:val="single"/>
        </w:rPr>
        <w:t>Other Defined Terms</w:t>
      </w:r>
      <w:r>
        <w:rPr/>
        <w:t>.  Other capitalized terms used herein, but not defined herein, shall unless otherwise provided herein or the context otherwise requires, have the respective meanings ascribed to such terms in this Guaranty.</w:t>
      </w:r>
    </w:p>
    <w:p>
      <w:pPr>
        <w:pStyle w:val="Normal"/>
        <w:jc w:val="both"/>
        <w:rPr/>
      </w:pPr>
      <w:r>
        <w:rPr/>
        <w:tab/>
        <w:tab/>
      </w:r>
    </w:p>
    <w:p>
      <w:pPr>
        <w:pStyle w:val="Normal"/>
        <w:jc w:val="both"/>
        <w:rPr/>
      </w:pPr>
      <w:r>
        <w:rPr/>
        <w:tab/>
        <w:t>Section 1.03</w:t>
        <w:tab/>
      </w:r>
      <w:r>
        <w:rPr>
          <w:u w:val="single"/>
        </w:rPr>
        <w:t>Accounting Terms</w:t>
      </w:r>
      <w:r>
        <w:rPr/>
        <w:t xml:space="preserve">.  All accounting terms not specifically defined herein shall be construed in accordance with, and certificates of compliance with financial covenants shall be based on, GAAP; </w:t>
      </w:r>
      <w:r>
        <w:rPr>
          <w:u w:val="single"/>
        </w:rPr>
        <w:t>provided</w:t>
      </w:r>
      <w:r>
        <w:rPr/>
        <w:t xml:space="preserve">, </w:t>
      </w:r>
      <w:r>
        <w:rPr>
          <w:u w:val="single"/>
        </w:rPr>
        <w:t>however</w:t>
      </w:r>
      <w:r>
        <w:rPr/>
        <w:t>, the financial statements and reports required pursuant to Sections 4.01(a)(i) and (viii) shall be prepared in accordance with generally accepted accounting principles consistently applied except to the extent stated therein.</w:t>
      </w:r>
    </w:p>
    <w:p>
      <w:pPr>
        <w:pStyle w:val="Normal"/>
        <w:jc w:val="both"/>
        <w:rPr/>
      </w:pPr>
      <w:r>
        <w:rPr/>
      </w:r>
    </w:p>
    <w:p>
      <w:pPr>
        <w:pStyle w:val="Normal"/>
        <w:jc w:val="both"/>
        <w:rPr/>
      </w:pPr>
      <w:r>
        <w:rPr/>
        <w:tab/>
        <w:t>Section 1.04</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keepNext w:val="true"/>
        <w:jc w:val="both"/>
        <w:rPr/>
      </w:pPr>
      <w:r>
        <w:rPr/>
      </w:r>
    </w:p>
    <w:p>
      <w:pPr>
        <w:pStyle w:val="Normal"/>
        <w:keepNext w:val="true"/>
        <w:keepLines/>
        <w:jc w:val="center"/>
        <w:rPr/>
      </w:pPr>
      <w:r>
        <w:rPr/>
        <w:t>ARTICLE II</w:t>
      </w:r>
    </w:p>
    <w:p>
      <w:pPr>
        <w:pStyle w:val="Normal"/>
        <w:keepNext w:val="true"/>
        <w:keepLines/>
        <w:jc w:val="both"/>
        <w:rPr/>
      </w:pPr>
      <w:r>
        <w:rPr/>
      </w:r>
    </w:p>
    <w:p>
      <w:pPr>
        <w:pStyle w:val="Normal"/>
        <w:keepNext w:val="true"/>
        <w:keepLines/>
        <w:jc w:val="center"/>
        <w:rPr>
          <w:u w:val="single"/>
        </w:rPr>
      </w:pPr>
      <w:r>
        <w:rPr>
          <w:u w:val="single"/>
        </w:rPr>
        <w:t>GUARANTY</w:t>
      </w:r>
    </w:p>
    <w:p>
      <w:pPr>
        <w:pStyle w:val="Normal"/>
        <w:keepLines/>
        <w:jc w:val="both"/>
        <w:rPr/>
      </w:pPr>
      <w:r>
        <w:rPr/>
      </w:r>
    </w:p>
    <w:p>
      <w:pPr>
        <w:pStyle w:val="Normal"/>
        <w:suppressAutoHyphens w:val="true"/>
        <w:jc w:val="both"/>
        <w:rPr/>
      </w:pPr>
      <w:r>
        <w:rPr/>
        <w:tab/>
        <w:t>Section 2.01</w:t>
        <w:tab/>
      </w:r>
      <w:r>
        <w:rPr>
          <w:u w:val="single"/>
        </w:rPr>
        <w:t>Guaranty</w:t>
      </w:r>
      <w:r>
        <w:rPr/>
        <w:t xml:space="preserve">.  The Guarantor hereby (a) absolutely, unconditionally and irrevocably guarantees to the Counterparty the full, punctual and prompt payment when due (whether at stated maturity, by acceleration or required prepayment or otherwise) of the Guaranteed Obligations, and (b) indemnifies and holds harmless the Counterparty from, and agrees to pay the Counterparty (subject to the last sentence of this Section 2.01), all reasonable costs and expenses (including reasonable counsel fees and expenses) incurred by the Counterparty in enforcing any of its rights under this Guaranty; </w:t>
      </w:r>
      <w:r>
        <w:rPr>
          <w:u w:val="single"/>
        </w:rPr>
        <w:t>provided</w:t>
      </w:r>
      <w:r>
        <w:rPr/>
        <w:t xml:space="preserve">, </w:t>
      </w:r>
      <w:r>
        <w:rPr>
          <w:u w:val="single"/>
        </w:rPr>
        <w:t>however</w:t>
      </w:r>
      <w:r>
        <w:rPr/>
        <w:t>, the Guarantor shall not be obligated to make any payment under this Section 2.01 until five (5) Business Days after the Guarantor has received written demand therefor from the Counterparty, which demand shall set forth in reasonable detail the amount for which demand is being made.  The guaranty in this Section 2.01 is a continuing guaranty, and shall apply to all Guaranteed Obligations whenever arising and shall remain in full force and effect, and shall not be terminated, until all Guaranteed Obligations under the Contract, and all costs and expenses referenced in Section 2.01(b), have been paid in full.  The Guarantor agrees that notwithstanding any stay, injunction or other prohibition preventing the payment by the the Company of all or any portion of the Guaranteed Obligations, such Guaranteed Obligations shall nevertheless be due and payable by the Guarantor for the purposes of this Guaranty at the time such Guaranteed Obligations are payable by the Company under the provisions of the Contract, subject to the requirement of demand for payment set forth above in this Section 2.01.  Notwithstanding the foregoing, (x) all payments due by the Guarantor pursuant to this Guaranty shall be made by the Guarantor to the Counterparty at its office (as indicated in Section 6.01 hereof) in same day funds, and such payment shall discharge the liability of the Guarantor hereunder to the extent of the amounts so paid. Notwithstanding any provision hereof to the contrary, the aggregate amount that shall be required to be paid by the Guarantor under this Guaranty shall not exceed CDN$400,000,000 (Four Hundred Million Canadian Dollars).</w:t>
      </w:r>
    </w:p>
    <w:p>
      <w:pPr>
        <w:pStyle w:val="Normal"/>
        <w:jc w:val="both"/>
        <w:rPr/>
      </w:pPr>
      <w:r>
        <w:rPr/>
      </w:r>
    </w:p>
    <w:p>
      <w:pPr>
        <w:pStyle w:val="Normal"/>
        <w:jc w:val="both"/>
        <w:rPr/>
      </w:pPr>
      <w:r>
        <w:rPr/>
        <w:tab/>
        <w:t>Section 2.02</w:t>
        <w:tab/>
      </w:r>
      <w:r>
        <w:rPr>
          <w:u w:val="single"/>
        </w:rPr>
        <w:t>Obligations Unconditional</w:t>
      </w:r>
      <w:r>
        <w:rPr/>
        <w:t>.  The Guarantor guarantees that the Guaranteed Obligations will be paid strictly in accordance with the terms of the Contract, subject to the requirement of demand for payment set forth in Section 2.01.  The liability of the Guarantor under this Guaranty to the fullest extent permitted by law shall be absolute and unconditional, irrespective of:</w:t>
      </w:r>
    </w:p>
    <w:p>
      <w:pPr>
        <w:pStyle w:val="Normal"/>
        <w:jc w:val="both"/>
        <w:rPr/>
      </w:pPr>
      <w:r>
        <w:rPr/>
      </w:r>
    </w:p>
    <w:p>
      <w:pPr>
        <w:pStyle w:val="Normal"/>
        <w:jc w:val="both"/>
        <w:rPr/>
      </w:pPr>
      <w:r>
        <w:rPr/>
        <w:tab/>
        <w:tab/>
        <w:t>(a)</w:t>
        <w:tab/>
        <w:t>any change in the time, manner or place of performance or payment of, or in any other term of, all or any of the Guaranteed Obligations, or any other amendment, extension of maturity;</w:t>
      </w:r>
    </w:p>
    <w:p>
      <w:pPr>
        <w:pStyle w:val="Normal"/>
        <w:jc w:val="both"/>
        <w:rPr/>
      </w:pPr>
      <w:r>
        <w:rPr/>
      </w:r>
    </w:p>
    <w:p>
      <w:pPr>
        <w:pStyle w:val="Normal"/>
        <w:jc w:val="both"/>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any change in the corporate existence, structure or ownership of the Company or the Guarantor, or any insolvency, bankruptcy, reorganization or other similar proceeding affecting any of them or their assets or any defense that may arise as a result of any such proceeding;</w:t>
      </w:r>
    </w:p>
    <w:p>
      <w:pPr>
        <w:pStyle w:val="Normal"/>
        <w:jc w:val="both"/>
        <w:rPr/>
      </w:pPr>
      <w:r>
        <w:rPr/>
      </w:r>
    </w:p>
    <w:p>
      <w:pPr>
        <w:pStyle w:val="Normal"/>
        <w:jc w:val="both"/>
        <w:rPr/>
      </w:pPr>
      <w:r>
        <w:rPr/>
        <w:tab/>
        <w:tab/>
        <w:t>(d)</w:t>
        <w:tab/>
        <w:t>any other act, omission to act, delay of any kind by any party hereto or any other Person, or any other circumstance whatsoever that might, but for the provisions of this Section 2.02, constitute a legal or equitable discharge of the obligations of a guarantor or surety;</w:t>
      </w:r>
    </w:p>
    <w:p>
      <w:pPr>
        <w:pStyle w:val="Normal"/>
        <w:jc w:val="both"/>
        <w:rPr/>
      </w:pPr>
      <w:r>
        <w:rPr/>
      </w:r>
    </w:p>
    <w:p>
      <w:pPr>
        <w:pStyle w:val="Normal"/>
        <w:jc w:val="both"/>
        <w:rPr/>
      </w:pPr>
      <w:r>
        <w:rPr/>
        <w:tab/>
        <w:tab/>
        <w:t>(e)</w:t>
        <w:tab/>
        <w:t>any law or legal requirement now or hereafter in effect in any jurisdiction affecting any of the terms of the Contract</w:t>
      </w:r>
      <w:r>
        <w:rPr>
          <w:b/>
        </w:rPr>
        <w:t xml:space="preserve"> </w:t>
      </w:r>
      <w:r>
        <w:rPr/>
        <w:t>or the rights of the Counterparty with respect thereto; or</w:t>
      </w:r>
    </w:p>
    <w:p>
      <w:pPr>
        <w:pStyle w:val="Normal"/>
        <w:jc w:val="both"/>
        <w:rPr/>
      </w:pPr>
      <w:r>
        <w:rPr/>
        <w:tab/>
        <w:tab/>
      </w:r>
    </w:p>
    <w:p>
      <w:pPr>
        <w:pStyle w:val="Normal"/>
        <w:jc w:val="both"/>
        <w:rPr/>
      </w:pPr>
      <w:r>
        <w:rPr/>
        <w:tab/>
        <w:t>This Guaranty is a guaranty of payment and not of collection.</w:t>
      </w:r>
    </w:p>
    <w:p>
      <w:pPr>
        <w:pStyle w:val="Normal"/>
        <w:jc w:val="both"/>
        <w:rPr/>
      </w:pPr>
      <w:r>
        <w:rPr/>
      </w:r>
    </w:p>
    <w:p>
      <w:pPr>
        <w:pStyle w:val="Normal"/>
        <w:jc w:val="both"/>
        <w:rPr/>
      </w:pPr>
      <w:r>
        <w:rPr/>
        <w:tab/>
        <w:t>Without limiting Guarantor’s own defenses and rights hereunder, Guarantor reserves to itself all rights, setoffs, counterclaims and other defenses to which the Company or any other affiliate of Guarantor is or may be entitled to arising from or out of the Contract or otherwise, except for defenses arising out of the bankruptcy, insolvency, dissolution or liquidation of the Company.</w:t>
      </w:r>
    </w:p>
    <w:p>
      <w:pPr>
        <w:pStyle w:val="Normal"/>
        <w:jc w:val="both"/>
        <w:rPr/>
      </w:pPr>
      <w:r>
        <w:rPr/>
      </w:r>
    </w:p>
    <w:p>
      <w:pPr>
        <w:pStyle w:val="Normal"/>
        <w:jc w:val="both"/>
        <w:rPr/>
      </w:pPr>
      <w:r>
        <w:rPr/>
        <w:tab/>
        <w:t>The guaranty made by the Guarantor hereunder shall continue to be effective or be reinstated, as the case may be, if at any time any payment of any of the Guaranteed Obligations is rescinded or must otherwise be returned by the Counterparty for any reason, including the bankruptcy, insolvency or reorganization of the Company or otherwise, all as though such payment had not been made, and, in such event, the Guarantor will pay to the Counterparty an amount equal to the payment that has been rescinded or returned.  The provisions of this paragraph will survive any release or termination of this Guaranty.  The obligations of the Guarantor hereunder constitute a primary obligation of the Guarantor and are independent of the obligations of the Company and separate action or actions may be brought and prosecuted against the Guarantor to enforce this Guaranty, irrespective or whether any action is brought against the Company or whether the Company is joined in any such action or actions.</w:t>
      </w:r>
    </w:p>
    <w:p>
      <w:pPr>
        <w:pStyle w:val="Normal"/>
        <w:jc w:val="both"/>
        <w:rPr/>
      </w:pPr>
      <w:r>
        <w:rPr/>
      </w:r>
    </w:p>
    <w:p>
      <w:pPr>
        <w:pStyle w:val="Normal"/>
        <w:jc w:val="both"/>
        <w:rPr/>
      </w:pPr>
      <w:r>
        <w:rPr/>
        <w:tab/>
        <w:t>Section 2.03</w:t>
        <w:tab/>
      </w:r>
      <w:r>
        <w:rPr>
          <w:u w:val="single"/>
        </w:rPr>
        <w:t>Waiver</w:t>
      </w:r>
      <w:r>
        <w:rPr/>
        <w:t>.  The Guarantor waives promptness, diligence, presentment, notice of dishonor, protest, notice of acceptance and any other notice with respect to any of the Guaranteed Obligations (other than the requirement of demand for payment set forth in Section 2.01) and this Guaranty and any requirement that the Counterparty protect, secure, perfect or insure any collateral or exhaust any right, power or remedy or take any action against the Company or any other Person or any collateral.</w:t>
      </w:r>
    </w:p>
    <w:p>
      <w:pPr>
        <w:pStyle w:val="Normal"/>
        <w:jc w:val="both"/>
        <w:rPr/>
      </w:pPr>
      <w:r>
        <w:rPr/>
      </w:r>
    </w:p>
    <w:p>
      <w:pPr>
        <w:pStyle w:val="Normal"/>
        <w:jc w:val="both"/>
        <w:rPr/>
      </w:pPr>
      <w:r>
        <w:rPr/>
        <w:tab/>
        <w:t>Section 2.04</w:t>
        <w:tab/>
      </w:r>
      <w:r>
        <w:rPr>
          <w:u w:val="single"/>
        </w:rPr>
        <w:t>Subrogation</w:t>
      </w:r>
      <w:r>
        <w:rPr/>
        <w:t>.  Notwithstanding any payment or performance made by the Guarantor hereunder, the Guarantor shall not be entitled to exercise or enforce against the Company any claim or other right which may at any time arise from the payment or performance by the Guarantor of its obligations under this Guaranty, including any right of subrogation, reimbursement or indemnification, or any right to participate in any claim or remedy of the Counterparty against the Company with respect to the Guaranteed Obligations (whether arising in equity or under contract, statute or common law), until the Guaranteed Obligations have been indefeasibly paid in full.</w:t>
      </w:r>
    </w:p>
    <w:p>
      <w:pPr>
        <w:pStyle w:val="Normal"/>
        <w:jc w:val="both"/>
        <w:rPr/>
      </w:pPr>
      <w:r>
        <w:rPr/>
      </w:r>
    </w:p>
    <w:p>
      <w:pPr>
        <w:pStyle w:val="Normal"/>
        <w:jc w:val="both"/>
        <w:rPr/>
      </w:pPr>
      <w:r>
        <w:rPr/>
        <w:tab/>
        <w:t>Section 2.05</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keepNext w:val="true"/>
        <w:jc w:val="both"/>
        <w:rPr/>
      </w:pPr>
      <w:r>
        <w:rPr/>
        <w:tab/>
        <w:t>Section 3.01</w:t>
        <w:tab/>
      </w:r>
      <w:r>
        <w:rPr>
          <w:u w:val="single"/>
        </w:rPr>
        <w:t>Representations and Warranties</w:t>
      </w:r>
      <w:r>
        <w:rPr/>
        <w:t>.  The Guarantor hereby represents and warrants to the Counterparty as follows:</w:t>
      </w:r>
    </w:p>
    <w:p>
      <w:pPr>
        <w:pStyle w:val="Normal"/>
        <w:jc w:val="both"/>
        <w:rPr/>
      </w:pPr>
      <w:r>
        <w:rPr/>
      </w:r>
    </w:p>
    <w:p>
      <w:pPr>
        <w:pStyle w:val="Normal"/>
        <w:jc w:val="both"/>
        <w:rPr/>
      </w:pPr>
      <w:r>
        <w:rPr/>
        <w:tab/>
        <w:tab/>
        <w:t>(a)</w:t>
        <w:tab/>
        <w:t>The Guarantor and each Principal Subsidiary is duly organized or validly formed, validly existing and (if applicable) in good standing under the laws of its jurisdiction of incorporation or formation.  The Guarantor and each Principal Subsidiary have all requisite powers and all material governmental licenses, authorizations, consents and approvals required in each case to carry on its business as now conducted.</w:t>
      </w:r>
    </w:p>
    <w:p>
      <w:pPr>
        <w:pStyle w:val="Normal"/>
        <w:jc w:val="both"/>
        <w:rPr/>
      </w:pPr>
      <w:r>
        <w:rPr/>
      </w:r>
    </w:p>
    <w:p>
      <w:pPr>
        <w:pStyle w:val="Normal"/>
        <w:jc w:val="both"/>
        <w:rPr/>
      </w:pPr>
      <w:r>
        <w:rPr/>
        <w:tab/>
        <w:tab/>
        <w:t>(b)</w:t>
        <w:tab/>
        <w:t>The execution, delivery and performance by the Guarantor of this Guaranty are within the Guarantor's legal powers, have been duly authorized by all necessary legal action of the Guarantor, require, in respect of the Guarantor, no action by or in respect of, or filing with, any governmental body, agency or official and do not contravene, or constitute a default under, any provision of law or regulation applicable to the Guarantor or Regulation U issued by the Federal Reserve Board or the charter or organizational documents, or by</w:t>
        <w:noBreakHyphen/>
        <w:t>laws or similar document of the Guarantor or any judgment, injunction, order, decree or material ("material" for the purposes of this representation meaning creating a liability of $100,000,000 or more) agreement binding upon the Guarantor or result in the creation or imposition of any lien, security interest or other charge or encumbrance on any asset of the Guarantor or any of its Subsidiaries.</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both"/>
        <w:rPr/>
      </w:pPr>
      <w:r>
        <w:rPr/>
        <w:tab/>
        <w:tab/>
        <w:t>(d)</w:t>
        <w:tab/>
        <w:t xml:space="preserve">The audited consolidated balance sheet of the Guarantor and its Subsidiaries as of December 31, 1999 and the related audited consolidated statements of income, cash flows and changes in stockholders' equity accounts for the fiscal year then ended and the unaudited consolidated balance sheet of the Guarantor and its Subsidiaries as of June 30, 2000 and the related unaudited consolidated statements of income, cash flows and changes in stockholders' equity accounts for the fiscal periods then ended, certified by the chief financial or accounting officer of the Guarantor, copies of which have been delivered to the Counterparty (or made available to the Counterparty either on "EDGAR" or the Guarantor’s home page on the World Wide Web at </w:t>
      </w:r>
      <w:r>
        <w:fldChar w:fldCharType="begin"/>
      </w:r>
      <w:r>
        <w:rPr/>
        <w:instrText xml:space="preserve"> GOTOBUTTON BM_1_ www.enron.com</w:instrText>
      </w:r>
      <w:r>
        <w:rPr/>
      </w:r>
      <w:r>
        <w:rPr/>
        <w:fldChar w:fldCharType="separate"/>
      </w:r>
      <w:r>
        <w:rPr/>
      </w:r>
      <w:r>
        <w:rPr/>
      </w:r>
      <w:r>
        <w:rPr/>
        <w:fldChar w:fldCharType="end"/>
      </w:r>
      <w:r>
        <w:rPr/>
        <w:t>), fairly present, in conformity with GAAP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w:t>
        <w:noBreakHyphen/>
        <w:t>end adjustments.</w:t>
      </w:r>
    </w:p>
    <w:p>
      <w:pPr>
        <w:pStyle w:val="Normal"/>
        <w:jc w:val="both"/>
        <w:rPr/>
      </w:pPr>
      <w:r>
        <w:rPr/>
      </w:r>
    </w:p>
    <w:p>
      <w:pPr>
        <w:pStyle w:val="Normal"/>
        <w:jc w:val="both"/>
        <w:rPr/>
      </w:pPr>
      <w:r>
        <w:rPr/>
        <w:tab/>
        <w:tab/>
        <w:t>(e)</w:t>
        <w:tab/>
        <w:t>Since December 31, 1999, through the date hereof, there has been no material adverse change in the business, consolidated financial position or consolidated results of operations of the Guarantor and its Subsidiaries, considered as a whole.</w:t>
      </w:r>
    </w:p>
    <w:p>
      <w:pPr>
        <w:pStyle w:val="Normal"/>
        <w:jc w:val="both"/>
        <w:rPr/>
      </w:pPr>
      <w:r>
        <w:rPr/>
      </w:r>
    </w:p>
    <w:p>
      <w:pPr>
        <w:pStyle w:val="Normal"/>
        <w:jc w:val="both"/>
        <w:rPr/>
      </w:pPr>
      <w:r>
        <w:rPr/>
        <w:tab/>
        <w:tab/>
        <w:t>(f)</w:t>
        <w:tab/>
        <w:t>Since December 31, 1999, except as disclosed in the Guarantor's Form 10</w:t>
        <w:noBreakHyphen/>
        <w:t>K for the year ended December 31, 1999 or the Guarantor's Form 10</w:t>
        <w:noBreakHyphen/>
        <w:t>Q for each of the quarters ended March 31, 2000 and June 30, 2000, there is no action, suit or proceeding pending against the Guarantor or any of its Subsidiaries, or to the knowledge of the Guarantor threatened against the Guarantor or any of its Subsidiaries, before any court or arbitrator or any governmental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Guaranty.</w:t>
      </w:r>
    </w:p>
    <w:p>
      <w:pPr>
        <w:pStyle w:val="Normal"/>
        <w:jc w:val="both"/>
        <w:rPr/>
      </w:pPr>
      <w:r>
        <w:rPr/>
      </w:r>
    </w:p>
    <w:p>
      <w:pPr>
        <w:pStyle w:val="Normal"/>
        <w:jc w:val="both"/>
        <w:rPr/>
      </w:pPr>
      <w:r>
        <w:rPr/>
        <w:tab/>
        <w:tab/>
        <w:t>(g)</w:t>
        <w:tab/>
        <w:t>No Termination Event has occurred or is reasonably expected to occur with respect to any Plan for which an Insufficiency in excess of $100,000,000 exists.  Neither the Guarantor nor any ERISA Affiliate has received any notification (or has knowledge of any reason to expect) that any Multiemployer Plan is in reorganization or has been terminated, within the meaning of Title IV of ERISA, for which a Withdrawal Liability in excess of $100,000,000 exists.</w:t>
      </w:r>
    </w:p>
    <w:p>
      <w:pPr>
        <w:pStyle w:val="Normal"/>
        <w:jc w:val="both"/>
        <w:rPr/>
      </w:pPr>
      <w:r>
        <w:rPr/>
      </w:r>
    </w:p>
    <w:p>
      <w:pPr>
        <w:pStyle w:val="Normal"/>
        <w:jc w:val="both"/>
        <w:rPr/>
      </w:pPr>
      <w:r>
        <w:rPr/>
        <w:tab/>
        <w:tab/>
        <w:t>(h)</w:t>
        <w:tab/>
        <w:t>United States Federal income tax returns of the Guarantor and its Subsidiaries have been examined and closed through the fiscal year ended December 31, 1995.  The Guarantor and its Subsidiaries have filed or caused to be filed all United States Federal income tax returns and all other material domestic tax returns which to the knowledge of the Guarantor are required to be filed by them and have paid or provided for the payment, before the same become delinquent, of all taxes due pursuant to such returns or pursuant to any assessment received by the Guarantor or any Subsidiary, other than those taxes contested in good faith by appropriate proceedings.  The charges, accruals and reserves on the books of the Guarantor and its Subsidiaries in respect of taxes are, in the opinion of the Guarantor, adequate to the extent required by GAAP.</w:t>
      </w:r>
    </w:p>
    <w:p>
      <w:pPr>
        <w:pStyle w:val="Normal"/>
        <w:jc w:val="both"/>
        <w:rPr/>
      </w:pPr>
      <w:r>
        <w:rPr/>
      </w:r>
    </w:p>
    <w:p>
      <w:pPr>
        <w:pStyle w:val="Normal"/>
        <w:jc w:val="both"/>
        <w:rPr/>
      </w:pPr>
      <w:r>
        <w:rPr/>
        <w:tab/>
        <w:tab/>
        <w:t>(i)</w:t>
        <w:tab/>
        <w:t>Neither the Guarantor nor any of its Subsidiaries is an "investment company" within the meaning of the Investment Company Act of 1940, as amended.</w:t>
      </w:r>
    </w:p>
    <w:p>
      <w:pPr>
        <w:pStyle w:val="Normal"/>
        <w:jc w:val="both"/>
        <w:rPr/>
      </w:pPr>
      <w:r>
        <w:rPr/>
      </w:r>
    </w:p>
    <w:p>
      <w:pPr>
        <w:pStyle w:val="Normal"/>
        <w:jc w:val="both"/>
        <w:rPr/>
      </w:pPr>
      <w:r>
        <w:rPr/>
        <w:tab/>
        <w:tab/>
        <w:t>(j)</w:t>
        <w:tab/>
        <w:t>Each of the Guarantor and the Principal Subsidiaries is not subject to, or is exempt from, regulation as a "holding company" or a "subsidiary company" of a "holding company", in each case as such terms are defined in the Public Utility Holding Company Act of 1935, as amended.</w:t>
      </w:r>
    </w:p>
    <w:p>
      <w:pPr>
        <w:pStyle w:val="Normal"/>
        <w:jc w:val="both"/>
        <w:rPr/>
      </w:pPr>
      <w:r>
        <w:rPr/>
      </w:r>
    </w:p>
    <w:p>
      <w:pPr>
        <w:pStyle w:val="Normal"/>
        <w:jc w:val="both"/>
        <w:rPr/>
      </w:pPr>
      <w:r>
        <w:rPr/>
        <w:tab/>
        <w:tab/>
        <w:t>(k)</w:t>
        <w:tab/>
        <w:t>Margin stock (within the meaning of Regulation U issued by the Federal Reserve Board) does not constitute all or substantially all of the assets of the Guarantor.</w:t>
      </w:r>
    </w:p>
    <w:p>
      <w:pPr>
        <w:pStyle w:val="Normal"/>
        <w:jc w:val="both"/>
        <w:rPr/>
      </w:pPr>
      <w:r>
        <w:rPr/>
      </w:r>
    </w:p>
    <w:p>
      <w:pPr>
        <w:pStyle w:val="Normal"/>
        <w:keepNext w:val="true"/>
        <w:jc w:val="center"/>
        <w:rPr/>
      </w:pPr>
      <w:r>
        <w:rPr/>
        <w:t>ARTICLE IV</w:t>
      </w:r>
    </w:p>
    <w:p>
      <w:pPr>
        <w:pStyle w:val="Normal"/>
        <w:keepNext w:val="true"/>
        <w:jc w:val="both"/>
        <w:rPr/>
      </w:pPr>
      <w:r>
        <w:rPr/>
      </w:r>
    </w:p>
    <w:p>
      <w:pPr>
        <w:pStyle w:val="Normal"/>
        <w:keepNext w:val="true"/>
        <w:jc w:val="center"/>
        <w:rPr>
          <w:u w:val="single"/>
        </w:rPr>
      </w:pPr>
      <w:r>
        <w:rPr>
          <w:u w:val="single"/>
        </w:rPr>
        <w:t>COVENANTS</w:t>
      </w:r>
    </w:p>
    <w:p>
      <w:pPr>
        <w:pStyle w:val="Normal"/>
        <w:keepNext w:val="true"/>
        <w:jc w:val="both"/>
        <w:rPr/>
      </w:pPr>
      <w:r>
        <w:rPr/>
      </w:r>
    </w:p>
    <w:p>
      <w:pPr>
        <w:pStyle w:val="Normal"/>
        <w:keepNext w:val="true"/>
        <w:jc w:val="both"/>
        <w:rPr/>
      </w:pPr>
      <w:r>
        <w:rPr/>
        <w:tab/>
        <w:t>Section 4.01</w:t>
        <w:tab/>
      </w:r>
      <w:r>
        <w:rPr>
          <w:u w:val="single"/>
        </w:rPr>
        <w:t>Affirmative Covenants</w:t>
      </w:r>
      <w:r>
        <w:rPr/>
        <w:t xml:space="preserve">.  The Guarantor hereby covenants and agrees that, so long as any Guaranteed Obligations shall remain outstanding, the Guarantor shall, unless the  Counterparty shall otherwise consent in writing: </w:t>
      </w:r>
    </w:p>
    <w:p>
      <w:pPr>
        <w:pStyle w:val="Normal"/>
        <w:jc w:val="both"/>
        <w:rPr/>
      </w:pPr>
      <w:r>
        <w:rPr/>
      </w:r>
    </w:p>
    <w:p>
      <w:pPr>
        <w:pStyle w:val="Normal"/>
        <w:jc w:val="both"/>
        <w:rPr/>
      </w:pPr>
      <w:r>
        <w:rPr/>
        <w:tab/>
        <w:tab/>
        <w:t>(a)</w:t>
        <w:tab/>
      </w:r>
      <w:r>
        <w:rPr>
          <w:u w:val="single"/>
        </w:rPr>
        <w:t>Reporting Requirements</w:t>
      </w:r>
      <w:r>
        <w:rPr/>
        <w:t>.  Furnish to the Counterparty:</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w:t>
        <w:tab/>
        <w:t xml:space="preserve">by making available either on "EDGAR" or Guarantor's home page on the World Wide Web at </w:t>
      </w:r>
      <w:r>
        <w:fldChar w:fldCharType="begin"/>
      </w:r>
      <w:r>
        <w:rPr/>
        <w:instrText xml:space="preserve"> GOTOBUTTON BM_2_ www.enron.com,</w:instrText>
      </w:r>
      <w:r>
        <w:rPr/>
      </w:r>
      <w:r>
        <w:rPr/>
        <w:fldChar w:fldCharType="separate"/>
      </w:r>
      <w:r>
        <w:rPr/>
      </w:r>
      <w:r>
        <w:rPr/>
      </w:r>
      <w:r>
        <w:rPr/>
        <w:fldChar w:fldCharType="end"/>
      </w:r>
      <w:r>
        <w:rPr/>
        <w:t xml:space="preserve"> or otherwise transmitting to the Counterparty (1) promptly after the sending or filing thereof, a copy of each of the Guarantor's reports on Form 8</w:t>
        <w:noBreakHyphen/>
        <w:t>K (or any comparable form), (2) promptly after the filing or sending thereof, and in any event within 75 days after the end of each of the first three fiscal quarters of each fiscal year of the Guarantor, a copy of the Guarantor's report on Form 10</w:t>
        <w:noBreakHyphen/>
        <w:t>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w:t>
        <w:noBreakHyphen/>
        <w:t>K (or any comparable form) for such year which annual report will include the Guarantor's annual audited consolidated financial statements as of the end of and for such year;</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(ii)</w:t>
        <w:tab/>
        <w:t>simultaneously with the furnishing of each of the annual or quarterly reports referred to in clause (i) above, a certificate of the chief financial officer or the chief accounting officer of the Guarantor in a form acceptable to the Counterparty (A) setting forth in reasonable detail the calculations required to establish whether the Guarantor was in compliance with the requirements of Section 4.02(c) on the date of the financial statements contained in such report, and (B) stating whether there exists on the date of such certificate any Guarantor Default or Guarantor Event of Default, and, if so, setting forth the details thereof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(iii)</w:t>
        <w:tab/>
        <w:t xml:space="preserve">promptly and in any event within five (5) Business Days after such occurrence, notice of any downgrade in rating of the senior unsecured long-term debt of the Guarantor by Moody's or S&amp;P; </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(iv)</w:t>
        <w:tab/>
        <w:t>as soon as possible and in any event within five (5) Business Days after an executive officer of the Guarantor having obtained knowledge thereof, notice of the occurrence of any Guarantor Default or Guarantor Event of Default, continuing on the date of such notice, and a statement of the chief financial officer of the Guarantor setting forth details of such Guarantor Default or Guarantor Event of Default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w:t>
        <w:tab/>
        <w:t>as soon as possible and in any event (A) within thirty (30) Business Days after the Guarantor or any ERISA Affiliate knows or has reason to know that any Termination Event described in clause (a) of the definition of Termination Event with respect to any Plan for which an Insufficiency in excess of $100,000,000 exists, has occurred and (B) within ten (10) Business Days after the Guarantor or any ERISA Affiliate knows or has reason to know that any other Termination Event with respect to any Plan for which an Insufficiency in excess of $100,000,000 exists, has occurred or is reasonably expected to occur, a statement of the chief financial officer or chief accounting officer of the Guarantor describing such Termination Event and the action, if any, which the Guarantor or such ERISA Affiliate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w:t>
        <w:tab/>
        <w:t>promptly and in any event within five (5) Business Days after receipt thereof by the Guarantor or any ERISA Affiliate, copies of each notice received by the Guarantor or any ERISA Affiliate from the PBGC stating its intention to terminate any Plan for which an Insufficiency in excess of $100,000,000 exists or to have a trustee appointed to administer any Plan for which an Insufficiency in excess of $100,000,000 exists;</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w:t>
        <w:tab/>
        <w:t>promptly and in any event within five (5) Business Days after receipt thereof by the Guarantor or any ERISA Affiliate from the sponsor of a Multiemployer Plan, a copy of each notice received by the Guarantor or any ERISA Affiliate indicating liability in excess of $100,000,000 incurred or expected to be incurred by the Guarantor or any ERISA Affiliate in connection with (A) the imposition of a Withdrawal Liability by a Multiemployer Plan, (B) the determination that a Multiemployer Plan is, or is expected to be, in reorganization within the meaning of Title IV of ERISA, or (C) the termination of a Multiemployer Plan within the meaning of Title IV of ERISA; and</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(viii)</w:t>
        <w:tab/>
        <w:t>such other information respecting the condition or operations, financial or otherwise, of the Guarantor or any of its Subsidiaries as the Counterparty may from time to time reasonably request.</w:t>
      </w:r>
    </w:p>
    <w:p>
      <w:pPr>
        <w:pStyle w:val="Normal"/>
        <w:jc w:val="both"/>
        <w:rPr/>
      </w:pPr>
      <w:r>
        <w:rPr/>
      </w:r>
    </w:p>
    <w:p>
      <w:pPr>
        <w:pStyle w:val="Normal"/>
        <w:jc w:val="both"/>
        <w:rPr/>
      </w:pPr>
      <w:r>
        <w:rPr/>
        <w:tab/>
        <w:tab/>
        <w:t>(b)</w:t>
        <w:tab/>
      </w:r>
      <w:r>
        <w:rPr>
          <w:u w:val="single"/>
        </w:rPr>
        <w:t>Compliance with Laws, Etc.</w:t>
      </w:r>
      <w:r>
        <w:rPr/>
        <w:t xml:space="preserve">  Comply, and cause each of its Subsidiaries to comply, with all applicable laws, rules, regulations and orders to the extent noncompliance therewith would have a material adverse effect on the Guarantor and its Subsidiaries taken as a whole, such compliance to include compliance with environmental laws and the paying before the same become delinquent of all taxes, assessments and governmental charges imposed upon it or upon its property except to the extent contested in good faith.</w:t>
      </w:r>
    </w:p>
    <w:p>
      <w:pPr>
        <w:pStyle w:val="Normal"/>
        <w:jc w:val="both"/>
        <w:rPr/>
      </w:pPr>
      <w:r>
        <w:rPr/>
      </w:r>
    </w:p>
    <w:p>
      <w:pPr>
        <w:pStyle w:val="Normal"/>
        <w:jc w:val="both"/>
        <w:rPr/>
      </w:pPr>
      <w:r>
        <w:rPr/>
        <w:tab/>
        <w:tab/>
        <w:t>(c)</w:t>
        <w:tab/>
      </w:r>
      <w:r>
        <w:rPr>
          <w:u w:val="single"/>
        </w:rPr>
        <w:t>Maintenance of Insurance</w:t>
      </w:r>
      <w:r>
        <w:rPr/>
        <w:t xml:space="preserve">.  Maintain, and cause each of the Principal Subsidiaries to maintain, insurance with responsible and reputable insurance companies or associations in such amounts and covering such risks as is usually carried by companies engaged in similar businesses and owning similar properties as the Guarantor or such Principal Subsidiary, </w:t>
      </w:r>
      <w:r>
        <w:rPr>
          <w:u w:val="single"/>
        </w:rPr>
        <w:t>provided</w:t>
      </w:r>
      <w:r>
        <w:rPr/>
        <w:t xml:space="preserve"> that self</w:t>
        <w:noBreakHyphen/>
        <w:t>insurance by the Guarantor or any such Principal Subsidiary shall not be deemed a violation of this covenant to the extent that companies engaged in similar businesses and owning similar properties as the Guarantor or such Principal Subsidiary self</w:t>
        <w:noBreakHyphen/>
        <w:t>insure.  The Guarantor may maintain its Principal Subsidiaries' insurance on behalf of them.</w:t>
      </w:r>
    </w:p>
    <w:p>
      <w:pPr>
        <w:pStyle w:val="Normal"/>
        <w:jc w:val="both"/>
        <w:rPr/>
      </w:pPr>
      <w:r>
        <w:rPr/>
      </w:r>
    </w:p>
    <w:p>
      <w:pPr>
        <w:pStyle w:val="Normal"/>
        <w:jc w:val="both"/>
        <w:rPr/>
      </w:pPr>
      <w:r>
        <w:rPr/>
        <w:tab/>
        <w:tab/>
        <w:t>(d)</w:t>
        <w:tab/>
      </w:r>
      <w:r>
        <w:rPr>
          <w:u w:val="single"/>
        </w:rPr>
        <w:t>Preservation of Corporate Existence, Etc.</w:t>
      </w:r>
      <w:r>
        <w:rPr/>
        <w:t xml:space="preserve">  Preserve and maintain, and cause each of the Principal Subsidiaries to preserve and maintain, its legal existence, rights (charter, if applicable, and statutory), and franchises; </w:t>
      </w:r>
      <w:r>
        <w:rPr>
          <w:u w:val="single"/>
        </w:rPr>
        <w:t>provided</w:t>
      </w:r>
      <w:r>
        <w:rPr/>
        <w:t xml:space="preserve">, </w:t>
      </w:r>
      <w:r>
        <w:rPr>
          <w:u w:val="single"/>
        </w:rPr>
        <w:t>however</w:t>
      </w:r>
      <w:r>
        <w:rPr/>
        <w:t xml:space="preserve">, that this </w:t>
      </w:r>
      <w:r>
        <w:rPr>
          <w:u w:val="single"/>
        </w:rPr>
        <w:t>Section 4.01(d)</w:t>
      </w:r>
      <w:r>
        <w:rPr/>
        <w:t xml:space="preserve"> shall not apply to transactions or matters permitted by </w:t>
      </w:r>
      <w:r>
        <w:rPr>
          <w:u w:val="single"/>
        </w:rPr>
        <w:t>Section 4.02(b)</w:t>
      </w:r>
      <w:r>
        <w:rPr/>
        <w:t xml:space="preserve"> and shall not prevent the termination of existence, rights and franchises of any Principal Subsidiary pursuant to any merger or consolidation to which such Principal Subsidiary is a party or pursuant to any lease, sale, transfer or other disposition of assets by a Principal Subsidiary, and </w:t>
      </w:r>
      <w:r>
        <w:rPr>
          <w:u w:val="single"/>
        </w:rPr>
        <w:t>provided</w:t>
      </w:r>
      <w:r>
        <w:rPr/>
        <w:t xml:space="preserve">, </w:t>
      </w:r>
      <w:r>
        <w:rPr>
          <w:u w:val="single"/>
        </w:rPr>
        <w:t>further</w:t>
      </w:r>
      <w:r>
        <w:rPr/>
        <w:t>, that the Guarantor or any Principal Subsidiary shall not be required to preserve any right or franchise if the Guarantor or such Principal Subsidiary shall determine that the preservation thereof is no longer desirable in the conduct of the business of the Guarantor or such Principal Subsidiary, as the case may be, and that the loss thereof is not disadvantageous in any material respect to the Counterparty.</w:t>
      </w:r>
    </w:p>
    <w:p>
      <w:pPr>
        <w:pStyle w:val="Normal"/>
        <w:jc w:val="both"/>
        <w:rPr/>
      </w:pPr>
      <w:r>
        <w:rPr/>
      </w:r>
    </w:p>
    <w:p>
      <w:pPr>
        <w:pStyle w:val="Normal"/>
        <w:jc w:val="both"/>
        <w:rPr/>
      </w:pPr>
      <w:r>
        <w:rPr/>
        <w:tab/>
        <w:tab/>
        <w:t>(e)</w:t>
        <w:tab/>
      </w:r>
      <w:r>
        <w:rPr>
          <w:u w:val="single"/>
        </w:rPr>
        <w:t>Visitation Rights</w:t>
      </w:r>
      <w:r>
        <w:rPr/>
        <w:t>.  At any reasonable time and from time to time, after reasonable notice, permit the Counterparty or any agents or representatives thereof, to examine the records and books of account of, and visit the properties of, the Guarantor and any of its Principal Subsidiaries, and to discuss the affairs, finances and accounts of the Guarantor and any of its Principal Subsidiaries with any of their respective officers or directors.</w:t>
      </w:r>
    </w:p>
    <w:p>
      <w:pPr>
        <w:pStyle w:val="Normal"/>
        <w:jc w:val="both"/>
        <w:rPr/>
      </w:pPr>
      <w:r>
        <w:rPr/>
      </w:r>
    </w:p>
    <w:p>
      <w:pPr>
        <w:pStyle w:val="Normal"/>
        <w:jc w:val="both"/>
        <w:rPr/>
      </w:pPr>
      <w:r>
        <w:rPr/>
        <w:tab/>
        <w:t>Section 4.02</w:t>
        <w:tab/>
      </w:r>
      <w:r>
        <w:rPr>
          <w:u w:val="single"/>
        </w:rPr>
        <w:t>Negative Covenants</w:t>
      </w:r>
      <w:r>
        <w:rPr/>
        <w:t>.  The Guarantor hereby covenants and agrees that, so long as any Guaranteed Obligations shall remain outstanding, the Guarantor will not, unless the  Counterparty shall otherwise consent in writing:</w:t>
      </w:r>
    </w:p>
    <w:p>
      <w:pPr>
        <w:pStyle w:val="Normal"/>
        <w:jc w:val="both"/>
        <w:rPr/>
      </w:pPr>
      <w:r>
        <w:rPr/>
      </w:r>
    </w:p>
    <w:p>
      <w:pPr>
        <w:pStyle w:val="Normal"/>
        <w:jc w:val="both"/>
        <w:rPr>
          <w:b/>
        </w:rPr>
      </w:pPr>
      <w:r>
        <w:rPr/>
        <w:tab/>
        <w:tab/>
        <w:t>(a)</w:t>
        <w:tab/>
      </w:r>
      <w:r>
        <w:rPr>
          <w:u w:val="single"/>
        </w:rPr>
        <w:t>Negative Pledge</w:t>
      </w:r>
      <w:r>
        <w:rPr/>
        <w:t xml:space="preserve">.  Fail to perform and observe any term, covenant or agreement contained in Section 1007 of the Guarantor Indenture (as modified for purposes hereof as set forth in the proviso to the next sentence hereof).  For the purposes of this Section 4.02(a), such Section 1007, and the definitions of all terms defined in the Enron Indenture and used in or otherwise applicable to such Section 1007, are hereby incorporated in this Guaranty by reference as if such provisions and definitions were set forth in full herein; </w:t>
      </w:r>
      <w:r>
        <w:rPr>
          <w:u w:val="single"/>
        </w:rPr>
        <w:t>provided</w:t>
      </w:r>
      <w:r>
        <w:rPr/>
        <w:t xml:space="preserve">, </w:t>
      </w:r>
      <w:r>
        <w:rPr>
          <w:u w:val="single"/>
        </w:rPr>
        <w:t>however</w:t>
      </w:r>
      <w:r>
        <w:rPr/>
        <w:t>, that solely for the purposes of this Section 4.02(a), the word "Securities" as used in the Enron Indenture shall refer solely to the obligations of the Guarantor now or hereafter existing under this Guaranty, the word "Company" used therein shall mean the Guarantor, the phrase "this Section 1007" used therein shall mean this Section 4.02(a), the word "Trustee" used therein shall mean the Counterparty, and the phrase "So long as any of the Securities are outstanding" used therein shall mean so long as any Guaranteed Obligations shall remain unpaid</w:t>
      </w:r>
      <w:r>
        <w:rPr>
          <w:bCs/>
        </w:rPr>
        <w:t>.</w:t>
      </w:r>
    </w:p>
    <w:p>
      <w:pPr>
        <w:pStyle w:val="Normal"/>
        <w:jc w:val="both"/>
        <w:rPr>
          <w:b/>
        </w:rPr>
      </w:pPr>
      <w:r>
        <w:rPr>
          <w:b/>
        </w:rPr>
      </w:r>
    </w:p>
    <w:p>
      <w:pPr>
        <w:pStyle w:val="Normal"/>
        <w:jc w:val="both"/>
        <w:rPr/>
      </w:pPr>
      <w:r>
        <w:rPr/>
        <w:tab/>
        <w:tab/>
        <w:t>(b)</w:t>
        <w:tab/>
      </w:r>
      <w:r>
        <w:rPr>
          <w:u w:val="single"/>
        </w:rPr>
        <w:t>Mergers, Etc</w:t>
      </w:r>
      <w:r>
        <w:rPr/>
        <w:t xml:space="preserve">.  Merge or consolidate with or into any Person, unless (i) the Guarantor is the survivor or (ii) the surviving Person, if not the Guarantor, and assumes all obligations of the Guarantor under this Agreement, </w:t>
      </w:r>
      <w:r>
        <w:rPr>
          <w:u w:val="single"/>
        </w:rPr>
        <w:t>provided</w:t>
      </w:r>
      <w:r>
        <w:rPr/>
        <w:t xml:space="preserve">, </w:t>
      </w:r>
      <w:r>
        <w:rPr>
          <w:u w:val="single"/>
        </w:rPr>
        <w:t>that</w:t>
      </w:r>
      <w:r>
        <w:rPr/>
        <w:t xml:space="preserve"> in each case immediately after giving effect to such proposed transaction, no Event of Default or Default would exist.</w:t>
      </w:r>
    </w:p>
    <w:p>
      <w:pPr>
        <w:pStyle w:val="Normal"/>
        <w:jc w:val="both"/>
        <w:rPr/>
      </w:pPr>
      <w:r>
        <w:rPr/>
      </w:r>
    </w:p>
    <w:p>
      <w:pPr>
        <w:pStyle w:val="Normal"/>
        <w:jc w:val="both"/>
        <w:rPr/>
      </w:pPr>
      <w:r>
        <w:rPr/>
        <w:tab/>
        <w:tab/>
        <w:t>(c)</w:t>
        <w:tab/>
      </w:r>
      <w:r>
        <w:rPr>
          <w:u w:val="single"/>
        </w:rPr>
        <w:t>Senior Debt to Capitalization</w:t>
      </w:r>
      <w:r>
        <w:rPr/>
        <w:t>.  Have a ratio of (i) Total Senior Debt to (ii) Total Capitalization greater than 65%.</w:t>
      </w:r>
    </w:p>
    <w:p>
      <w:pPr>
        <w:pStyle w:val="Normal"/>
        <w:jc w:val="both"/>
        <w:rPr/>
      </w:pPr>
      <w:r>
        <w:rPr/>
      </w:r>
    </w:p>
    <w:p>
      <w:pPr>
        <w:pStyle w:val="Normal"/>
        <w:jc w:val="both"/>
        <w:rPr/>
      </w:pPr>
      <w:r>
        <w:rPr/>
        <w:tab/>
        <w:tab/>
        <w:t>(d)</w:t>
        <w:tab/>
      </w:r>
      <w:r>
        <w:rPr>
          <w:u w:val="single"/>
        </w:rPr>
        <w:t>Compliance with ERISA</w:t>
      </w:r>
      <w:r>
        <w:rPr/>
        <w:t>.  (i) Terminate, or permit any ERISA Affiliate to terminate, any Plan so as to result in any liability in excess of $100,000,000 of the Guarantor or any ERISA Affiliate to the PBGC, or (ii) permit circumstances which give rise to a Termination Event described in clause (b) (d) or (e) of the definition of Termination Event with respect to a Plan so as to result in any liability in excess of $100,000,000 of the Guarantor or any ERISA Affiliate to the PBGC.</w:t>
      </w:r>
    </w:p>
    <w:p>
      <w:pPr>
        <w:pStyle w:val="Normal"/>
        <w:jc w:val="both"/>
        <w:rPr/>
      </w:pPr>
      <w:r>
        <w:rPr/>
      </w:r>
    </w:p>
    <w:p>
      <w:pPr>
        <w:pStyle w:val="Normal"/>
        <w:keepNext w:val="true"/>
        <w:jc w:val="both"/>
        <w:rPr/>
      </w:pPr>
      <w:r>
        <w:rPr/>
      </w:r>
    </w:p>
    <w:p>
      <w:pPr>
        <w:pStyle w:val="Normal"/>
        <w:keepNext w:val="true"/>
        <w:keepLines/>
        <w:jc w:val="center"/>
        <w:rPr/>
      </w:pPr>
      <w:r>
        <w:rPr/>
        <w:t>ARTICLE V</w:t>
      </w:r>
    </w:p>
    <w:p>
      <w:pPr>
        <w:pStyle w:val="Normal"/>
        <w:keepNext w:val="true"/>
        <w:keepLines/>
        <w:jc w:val="both"/>
        <w:rPr/>
      </w:pPr>
      <w:r>
        <w:rPr/>
      </w:r>
    </w:p>
    <w:p>
      <w:pPr>
        <w:pStyle w:val="Normal"/>
        <w:keepNext w:val="true"/>
        <w:keepLines/>
        <w:jc w:val="center"/>
        <w:rPr>
          <w:u w:val="single"/>
        </w:rPr>
      </w:pPr>
      <w:r>
        <w:rPr>
          <w:u w:val="single"/>
        </w:rPr>
        <w:t>GUARANTOR EVENT OF DEFAULT</w:t>
      </w:r>
    </w:p>
    <w:p>
      <w:pPr>
        <w:pStyle w:val="Normal"/>
        <w:keepNext w:val="true"/>
        <w:keepLines/>
        <w:jc w:val="both"/>
        <w:rPr/>
      </w:pPr>
      <w:r>
        <w:rPr/>
      </w:r>
    </w:p>
    <w:p>
      <w:pPr>
        <w:pStyle w:val="Normal"/>
        <w:keepLines/>
        <w:jc w:val="both"/>
        <w:rPr/>
      </w:pPr>
      <w:r>
        <w:rPr/>
        <w:tab/>
        <w:t>Section 5.01</w:t>
        <w:tab/>
      </w:r>
      <w:r>
        <w:rPr>
          <w:u w:val="single"/>
        </w:rPr>
        <w:t>Guarantor Event of Default</w:t>
      </w:r>
      <w:r>
        <w:rPr/>
        <w:t>.  Each of the following events shall constitute a "</w:t>
      </w:r>
      <w:r>
        <w:rPr>
          <w:u w:val="single"/>
        </w:rPr>
        <w:t>Guarantor Event of Default</w:t>
      </w:r>
      <w:r>
        <w:rPr/>
        <w:t>":</w:t>
      </w:r>
    </w:p>
    <w:p>
      <w:pPr>
        <w:pStyle w:val="Normal"/>
        <w:jc w:val="both"/>
        <w:rPr/>
      </w:pPr>
      <w:r>
        <w:rPr/>
      </w:r>
    </w:p>
    <w:p>
      <w:pPr>
        <w:pStyle w:val="Normal"/>
        <w:jc w:val="both"/>
        <w:rPr/>
      </w:pPr>
      <w:r>
        <w:rPr/>
        <w:tab/>
        <w:tab/>
        <w:t>(a)</w:t>
        <w:tab/>
        <w:t>The Guarantor shall fail to perform or observe any term, covenant or agreement contained in Section 2.01 or in Section 4.02; or</w:t>
      </w:r>
    </w:p>
    <w:p>
      <w:pPr>
        <w:pStyle w:val="Normal"/>
        <w:jc w:val="both"/>
        <w:rPr/>
      </w:pPr>
      <w:r>
        <w:rPr/>
      </w:r>
    </w:p>
    <w:p>
      <w:pPr>
        <w:pStyle w:val="Normal"/>
        <w:jc w:val="both"/>
        <w:rPr/>
      </w:pPr>
      <w:r>
        <w:rPr/>
        <w:tab/>
        <w:tab/>
        <w:t>(b)</w:t>
        <w:tab/>
        <w:t>The Guarantor shall fail to perform or observe any term, covenant or agreement contained in this Guaranty other than Sections 2.01 and 4.02 if such failure shall remain unremedied for 30 days after written notice thereof shall have been given to the Guarantor by the Counterparty; or</w:t>
      </w:r>
    </w:p>
    <w:p>
      <w:pPr>
        <w:pStyle w:val="Normal"/>
        <w:jc w:val="both"/>
        <w:rPr/>
      </w:pPr>
      <w:r>
        <w:rPr/>
      </w:r>
    </w:p>
    <w:p>
      <w:pPr>
        <w:pStyle w:val="Normal"/>
        <w:jc w:val="both"/>
        <w:rPr/>
      </w:pPr>
      <w:r>
        <w:rPr/>
        <w:tab/>
        <w:tab/>
        <w:t>(c)</w:t>
        <w:tab/>
        <w:t>Any representation or warranty made or deemed made by the Guarantor (or any of its officers) under or in connection with this Guaranty shall prove to have been incorrect in any material respect when made and such materiality is continuing; or</w:t>
      </w:r>
    </w:p>
    <w:p>
      <w:pPr>
        <w:pStyle w:val="Normal"/>
        <w:jc w:val="both"/>
        <w:rPr/>
      </w:pPr>
      <w:r>
        <w:rPr/>
      </w:r>
    </w:p>
    <w:p>
      <w:pPr>
        <w:pStyle w:val="Normal"/>
        <w:jc w:val="both"/>
        <w:rPr/>
      </w:pPr>
      <w:r>
        <w:rPr/>
        <w:tab/>
        <w:tab/>
        <w:t>(d)</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(d); or</w:t>
      </w:r>
    </w:p>
    <w:p>
      <w:pPr>
        <w:pStyle w:val="Normal"/>
        <w:jc w:val="both"/>
        <w:rPr/>
      </w:pPr>
      <w:r>
        <w:rPr/>
      </w:r>
    </w:p>
    <w:p>
      <w:pPr>
        <w:pStyle w:val="Normal"/>
        <w:jc w:val="both"/>
        <w:rPr/>
      </w:pPr>
      <w:r>
        <w:rPr/>
        <w:tab/>
        <w:tab/>
        <w:t>(e)</w:t>
        <w:tab/>
        <w:t>Any provision of this Guaranty for any reason is not or ceases to be valid and binding on the Guarantor, or the Guarantor shall so state in writing; or</w:t>
      </w:r>
    </w:p>
    <w:p>
      <w:pPr>
        <w:pStyle w:val="Normal"/>
        <w:jc w:val="both"/>
        <w:rPr/>
      </w:pPr>
      <w:r>
        <w:rPr/>
      </w:r>
    </w:p>
    <w:p>
      <w:pPr>
        <w:pStyle w:val="Normal"/>
        <w:jc w:val="both"/>
        <w:rPr/>
      </w:pPr>
      <w:r>
        <w:rPr/>
        <w:tab/>
        <w:tab/>
        <w:t>(f)</w:t>
        <w:tab/>
        <w:t>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any such Debt or permit or suffer any other event to occur or condition to exist under any agreement or instrument relating to any such Debt that in substance is customarily considered a default in loan documents (in each case, other than a failure to pay specified in clause (i) of this subsection (f)) and such default or other event or condition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(f) do not include (1) mandatory prepayments required on borrowing base or similar loans, (2) changes in law or judicial, executive or administrative interpretation, or the tax, accounting, regulatory or other 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(c)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 or</w:t>
      </w:r>
    </w:p>
    <w:p>
      <w:pPr>
        <w:pStyle w:val="Normal"/>
        <w:jc w:val="both"/>
        <w:rPr/>
      </w:pPr>
      <w:r>
        <w:rPr/>
      </w:r>
    </w:p>
    <w:p>
      <w:pPr>
        <w:pStyle w:val="Normal"/>
        <w:jc w:val="both"/>
        <w:rPr/>
      </w:pPr>
      <w:r>
        <w:rPr/>
        <w:tab/>
        <w:tab/>
        <w:t>(g)</w:t>
        <w:tab/>
        <w:t>Any judgment, decree or order for the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of enforcement of such judgment, decree or order, by reason of a pending appeal or otherwise, shall not be in effect; or</w:t>
      </w:r>
    </w:p>
    <w:p>
      <w:pPr>
        <w:pStyle w:val="Normal"/>
        <w:jc w:val="both"/>
        <w:rPr/>
      </w:pPr>
      <w:r>
        <w:rPr/>
      </w:r>
    </w:p>
    <w:p>
      <w:pPr>
        <w:pStyle w:val="Normal"/>
        <w:jc w:val="both"/>
        <w:rPr/>
      </w:pPr>
      <w:r>
        <w:rPr/>
        <w:tab/>
        <w:tab/>
        <w:t>(h)</w:t>
        <w:tab/>
        <w:t>Any Termination Event as defined in clause (b), (d) or (e) of the definition thereof with respect to a Plan shall have occurred and, 30 days after notice thereof shall have been given to the Guarantor by the Counterparty, (A) such Termination Event shall still exist and (B) the sum (determined as of the date of occurrence of such Termination Event) of the liabilities to the PBGC resulting from all such Termination Events is equal to or greater than $150,000,000; or</w:t>
      </w:r>
    </w:p>
    <w:p>
      <w:pPr>
        <w:pStyle w:val="Normal"/>
        <w:jc w:val="both"/>
        <w:rPr/>
      </w:pPr>
      <w:r>
        <w:rPr/>
      </w:r>
    </w:p>
    <w:p>
      <w:pPr>
        <w:pStyle w:val="Normal"/>
        <w:jc w:val="both"/>
        <w:rPr/>
      </w:pPr>
      <w:r>
        <w:rPr/>
        <w:tab/>
        <w:tab/>
        <w:t>(i)</w:t>
        <w:tab/>
        <w:t>The Guarantor or any ERISA Affiliate shall have been notified by the sponsor of a Multiemployer Plan that it has incurred Withdrawal Liability to such Multiemployer Plan in an amount which, when aggregated with all other amounts required to be paid to Multiemployer Plans in connection with Withdrawal Liabilities (determined as of the date of such notification), exceeds $150,000,000 or requires payments exceeding $100,000,000 in any year; or</w:t>
      </w:r>
    </w:p>
    <w:p>
      <w:pPr>
        <w:pStyle w:val="Normal"/>
        <w:jc w:val="both"/>
        <w:rPr/>
      </w:pPr>
      <w:r>
        <w:rPr/>
      </w:r>
    </w:p>
    <w:p>
      <w:pPr>
        <w:pStyle w:val="Normal"/>
        <w:jc w:val="both"/>
        <w:rPr/>
      </w:pPr>
      <w:r>
        <w:rPr/>
        <w:tab/>
        <w:tab/>
        <w:t>(j)</w:t>
        <w:tab/>
        <w:t>The Guarantor or any ERISA Affiliate shall have been notified by the sponsor of a Multiemployer Plan that such Multiemployer Plan is in reorganization or is being terminated, within the meaning of Title IV of ERISA, if as a result of such reorganization or termination the aggregate annual contributions of the Guarantor and its ERISA Affiliates to all Multiemployer Plans which are then in reorganization or being terminated have been or will be increased over the amounts contributed to such Multiemployer Plans for the respective plan years which include the date hereof by an amount exceeding $100,000,000 in the aggregate.</w:t>
      </w:r>
    </w:p>
    <w:p>
      <w:pPr>
        <w:pStyle w:val="Normal"/>
        <w:keepNext w:val="true"/>
        <w:jc w:val="both"/>
        <w:rPr/>
      </w:pPr>
      <w:r>
        <w:rPr/>
      </w:r>
    </w:p>
    <w:p>
      <w:pPr>
        <w:pStyle w:val="Normal"/>
        <w:keepNext w:val="true"/>
        <w:keepLines/>
        <w:jc w:val="center"/>
        <w:rPr/>
      </w:pPr>
      <w:r>
        <w:rPr/>
        <w:t>ARTICLE VI</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6.01</w:t>
        <w:tab/>
      </w:r>
      <w:r>
        <w:rPr>
          <w:u w:val="single"/>
        </w:rPr>
        <w:t>Notice</w:t>
      </w:r>
      <w:r>
        <w:rPr/>
        <w:t>.  Any demand, notice, request, instruction, correspondence or other document to be given hereunder by the Guarantor to the Counterparty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jc w:val="both"/>
        <w:rPr/>
      </w:pPr>
      <w:r>
        <w:rPr/>
        <w:tab/>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Facsimile: (713) 646-3422</w:t>
      </w:r>
    </w:p>
    <w:p>
      <w:pPr>
        <w:pStyle w:val="Normal"/>
        <w:jc w:val="both"/>
        <w:rPr/>
      </w:pPr>
      <w:r>
        <w:rPr/>
      </w:r>
    </w:p>
    <w:p>
      <w:pPr>
        <w:pStyle w:val="Normal"/>
        <w:tabs>
          <w:tab w:val="left" w:pos="720" w:leader="none"/>
          <w:tab w:val="left" w:pos="1440" w:leader="none"/>
        </w:tabs>
        <w:ind w:hanging="1440" w:start="1440" w:end="0"/>
        <w:jc w:val="both"/>
        <w:rPr/>
      </w:pPr>
      <w:r>
        <w:rPr/>
        <w:tab/>
        <w:tab/>
        <w:t>if to the Counterparty:</w:t>
      </w:r>
    </w:p>
    <w:p>
      <w:pPr>
        <w:pStyle w:val="Normal"/>
        <w:tabs>
          <w:tab w:val="left" w:pos="720" w:leader="none"/>
          <w:tab w:val="left" w:pos="1440" w:leader="none"/>
        </w:tabs>
        <w:ind w:hanging="1440" w:start="1440" w:end="0"/>
        <w:jc w:val="both"/>
        <w:rPr/>
      </w:pPr>
      <w:r>
        <w:rPr/>
      </w:r>
    </w:p>
    <w:p>
      <w:pPr>
        <w:pStyle w:val="Normal"/>
        <w:tabs>
          <w:tab w:val="left" w:pos="720" w:leader="none"/>
          <w:tab w:val="left" w:pos="1440" w:leader="none"/>
        </w:tabs>
        <w:ind w:hanging="1440" w:start="1440" w:end="0"/>
        <w:jc w:val="both"/>
        <w:rPr/>
      </w:pPr>
      <w:r>
        <w:rPr/>
        <w:tab/>
        <w:tab/>
        <w:tab/>
        <w:t>Royal Bank of Canada</w:t>
      </w:r>
    </w:p>
    <w:p>
      <w:pPr>
        <w:pStyle w:val="Normal"/>
        <w:tabs>
          <w:tab w:val="left" w:pos="720" w:leader="none"/>
          <w:tab w:val="left" w:pos="1440" w:leader="none"/>
        </w:tabs>
        <w:ind w:hanging="1440" w:start="1440" w:end="0"/>
        <w:jc w:val="both"/>
        <w:rPr/>
      </w:pPr>
      <w:r>
        <w:rPr/>
        <w:tab/>
        <w:tab/>
        <w:tab/>
        <w:t>[ADDRESS]</w:t>
      </w:r>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6.02</w:t>
        <w:tab/>
      </w:r>
      <w:r>
        <w:rPr>
          <w:u w:val="single"/>
        </w:rPr>
        <w:t>Amendment or Waiver</w:t>
      </w:r>
      <w:r>
        <w:rPr/>
        <w:t>.  No amendment, waiver, supplement or other modification of any provision of this Guaranty shall be effective unless the same shall be in writing and signed by the Guarantor and consented to in writing by the Counterparty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ab/>
        <w:t>Section 6.03</w:t>
        <w:tab/>
      </w:r>
      <w:r>
        <w:rPr>
          <w:u w:val="single"/>
        </w:rPr>
        <w:t>Successors and Assigns</w:t>
      </w:r>
      <w:r>
        <w:rPr/>
        <w:t xml:space="preserve">.  This Guaranty shall be binding upon the Guarantor and its successors and assigns and shall inure to the benefit of and be enforceable by the Counterparty and its respective successors and permitted assigns and transferees pursuant to the Contract; </w:t>
      </w:r>
      <w:r>
        <w:rPr>
          <w:u w:val="single"/>
        </w:rPr>
        <w:t>provided</w:t>
      </w:r>
      <w:r>
        <w:rPr/>
        <w:t xml:space="preserve"> that the Guarantor may not assign or transfer any of its rights or obligations under this Guaranty without the prior written consent of the Counterparty; </w:t>
      </w:r>
      <w:r>
        <w:rPr>
          <w:u w:val="single"/>
        </w:rPr>
        <w:t>provided</w:t>
      </w:r>
      <w:r>
        <w:rPr/>
        <w:t xml:space="preserve">, </w:t>
      </w:r>
      <w:r>
        <w:rPr>
          <w:u w:val="single"/>
        </w:rPr>
        <w:t>further</w:t>
      </w:r>
      <w:r>
        <w:rPr/>
        <w:t>, that this provision shall not prevent a matter or transaction permitted by Section 4.02(b).  Upon any consolidation of the Guarantor with, or merger of the Guarantor into, any other Person the successor Person formed by such consolidation or into which the Guarantor is merged or the transferee to which such sale, transfer or other disposition is made (any such successor Person or transferee being a "</w:t>
      </w:r>
      <w:r>
        <w:rPr>
          <w:u w:val="single"/>
        </w:rPr>
        <w:t>Successor Person</w:t>
      </w:r>
      <w:r>
        <w:rPr/>
        <w:t>") shall succeed to, and be substituted for, and may exercise every right and power of the Guarantor under this Guaranty with the same effect as if such Successor Person had been named as the Guarantor herein, and thereafter the predecessor Guarantor shall be relieved of all obligations and covenants under this Guaranty.</w:t>
      </w:r>
    </w:p>
    <w:p>
      <w:pPr>
        <w:pStyle w:val="Normal"/>
        <w:jc w:val="both"/>
        <w:rPr/>
      </w:pPr>
      <w:r>
        <w:rPr/>
      </w:r>
    </w:p>
    <w:p>
      <w:pPr>
        <w:pStyle w:val="Normal"/>
        <w:jc w:val="both"/>
        <w:rPr/>
      </w:pPr>
      <w:r>
        <w:rPr/>
        <w:tab/>
        <w:t>Section 6.04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6.05</w:t>
        <w:tab/>
      </w:r>
      <w:r>
        <w:rPr>
          <w:u w:val="single"/>
        </w:rPr>
        <w:t>Governing Law</w:t>
      </w:r>
      <w:r>
        <w:rPr/>
        <w:t xml:space="preserve">.  THIS GUARANTY SHALL BE GOVERNED BY AND CONSTRUED IN ACCORDANCE WITH THE LAW OF THE STATE OF </w:t>
      </w:r>
      <w:r>
        <w:rPr>
          <w:bCs/>
        </w:rPr>
        <w:t>NEW YORK (WITHOUT GIVING EFFECT TO THE PRINCIPLES THEREOF RELATING TO CONFLICTS OF LAW EXCEPT SECTION 5-1401 OF THE NEW YORK GENERAL OBLIGATIONS LAW)</w:t>
      </w:r>
      <w:r>
        <w:rPr/>
        <w:t>.</w:t>
      </w:r>
    </w:p>
    <w:p>
      <w:pPr>
        <w:pStyle w:val="Normal"/>
        <w:jc w:val="both"/>
        <w:rPr/>
      </w:pPr>
      <w:r>
        <w:rPr/>
      </w:r>
    </w:p>
    <w:p>
      <w:pPr>
        <w:pStyle w:val="Normal"/>
        <w:jc w:val="both"/>
        <w:rPr/>
      </w:pPr>
      <w:r>
        <w:rPr/>
        <w:tab/>
        <w:t>Section 6.06</w:t>
        <w:tab/>
      </w:r>
      <w:r>
        <w:rPr>
          <w:u w:val="single"/>
        </w:rPr>
        <w:t>Section Captions</w:t>
      </w:r>
      <w:r>
        <w:rPr/>
        <w:t xml:space="preserve">.  Section captions used in this Guaranty are for convenience of reference only, and shall not affect the construction of this Guaranty. </w:t>
      </w:r>
    </w:p>
    <w:p>
      <w:pPr>
        <w:pStyle w:val="Normal"/>
        <w:jc w:val="both"/>
        <w:rPr/>
      </w:pPr>
      <w:r>
        <w:rPr/>
      </w:r>
    </w:p>
    <w:p>
      <w:pPr>
        <w:pStyle w:val="Normal"/>
        <w:ind w:firstLine="720" w:end="0"/>
        <w:jc w:val="both"/>
        <w:rPr/>
      </w:pPr>
      <w:r>
        <w:rPr/>
        <w:t>Section 6.07</w:t>
        <w:tab/>
      </w:r>
      <w:r>
        <w:rPr>
          <w:u w:val="single"/>
        </w:rPr>
        <w:t>Currency of Obligations</w:t>
      </w:r>
      <w:r>
        <w:rPr/>
        <w:t>.  All payments due hereunder shall be payable in the same currency as the Guaranteed Obligations, or if no currency is otherwise specified with respect to a Guaranteed Obligation, in the lawful currency of the United States of America.  The Guaranteed Obligations of the Guarantor in respect of any sum due hereunder shall, notwithstanding any judgment in a currency (the "</w:t>
      </w:r>
      <w:r>
        <w:rPr>
          <w:u w:val="single"/>
        </w:rPr>
        <w:t>Judgment Currency"</w:t>
      </w:r>
      <w:r>
        <w:rPr/>
        <w:t>) other than the currency of the underlying Guaranteed Obligation, be discharged only to the extent that on the Business Day following receipt by the Counterparty of any sum adjudged to be so due in the Judgment Currency, the Counterparty, in accordance with normal banking procedures, purchases the currency of the underlying Guaranteed Obligation with the Judgment Currency.  If the amount of the currency of the underlying Guaranteed Obligation so purchased is less than the sum originally due hereunder, the Guarantor agrees as a separate obligation and notwithstanding any such judgment, to indemnify the Counterparty</w:t>
      </w:r>
      <w:r>
        <w:rPr>
          <w:b/>
        </w:rPr>
        <w:t xml:space="preserve"> </w:t>
      </w:r>
      <w:r>
        <w:rPr/>
        <w:t>against such loss.</w:t>
      </w:r>
    </w:p>
    <w:p>
      <w:pPr>
        <w:pStyle w:val="Normal"/>
        <w:spacing w:lineRule="atLeast" w:line="240"/>
        <w:ind w:firstLine="720" w:end="0"/>
        <w:jc w:val="both"/>
        <w:rPr/>
      </w:pPr>
      <w:r>
        <w:rPr/>
      </w:r>
    </w:p>
    <w:p>
      <w:pPr>
        <w:pStyle w:val="BodyTextIndent2"/>
        <w:rPr/>
      </w:pPr>
      <w:r>
        <w:rPr/>
        <w:t>IN WITNESS WHEREOF, the Guarantor has executed this Guaranty on September [____],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b/>
              </w:rPr>
            </w:pPr>
            <w:r>
              <w:rPr>
                <w:b/>
              </w:rPr>
              <w:t>ENRON CORP.</w:t>
            </w:r>
          </w:p>
          <w:p>
            <w:pPr>
              <w:pStyle w:val="Normal"/>
              <w:spacing w:lineRule="atLeast" w:line="240"/>
              <w:jc w:val="both"/>
              <w:rPr/>
            </w:pPr>
            <w:r>
              <w:rPr/>
            </w:r>
          </w:p>
          <w:p>
            <w:pPr>
              <w:pStyle w:val="Normal"/>
              <w:spacing w:lineRule="atLeast" w:line="240"/>
              <w:jc w:val="both"/>
              <w:rPr/>
            </w:pPr>
            <w:r>
              <w:rPr/>
            </w:r>
          </w:p>
          <w:p>
            <w:pPr>
              <w:pStyle w:val="Normal"/>
              <w:tabs>
                <w:tab w:val="left" w:pos="720" w:leader="none"/>
                <w:tab w:val="right" w:pos="5040" w:leader="none"/>
              </w:tabs>
              <w:spacing w:lineRule="atLeast" w:line="240"/>
              <w:jc w:val="both"/>
              <w:rPr/>
            </w:pPr>
            <w:r>
              <w:rPr/>
              <w:t>By:</w:t>
              <w:tab/>
            </w:r>
            <w:r>
              <w:rPr>
                <w:u w:val="single"/>
              </w:rPr>
              <w:tab/>
            </w:r>
          </w:p>
          <w:p>
            <w:pPr>
              <w:pStyle w:val="Normal"/>
              <w:tabs>
                <w:tab w:val="left" w:pos="720" w:leader="none"/>
                <w:tab w:val="right" w:pos="5040" w:leader="none"/>
              </w:tabs>
              <w:spacing w:lineRule="atLeast" w:line="240"/>
              <w:jc w:val="both"/>
              <w:rPr>
                <w:u w:val="single"/>
              </w:rPr>
            </w:pPr>
            <w:r>
              <w:rPr/>
              <w:t>Name:</w:t>
              <w:tab/>
            </w:r>
          </w:p>
          <w:p>
            <w:pPr>
              <w:pStyle w:val="BodyTextIndent"/>
              <w:ind w:hanging="0" w:start="0" w:end="0"/>
              <w:rPr>
                <w:sz w:val="24"/>
                <w:u w:val="single"/>
              </w:rPr>
            </w:pPr>
            <w:r>
              <w:rPr>
                <w:sz w:val="24"/>
              </w:rPr>
              <w:t>Title: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u w:val="single"/>
              </w:rPr>
            </w:pPr>
            <w:r>
              <w:rPr>
                <w:sz w:val="23"/>
                <w:u w:val="single"/>
              </w:rPr>
            </w:r>
          </w:p>
        </w:tc>
      </w:tr>
    </w:tbl>
    <w:p>
      <w:pPr>
        <w:pStyle w:val="Normal"/>
        <w:rPr>
          <w:sz w:val="23"/>
        </w:rPr>
      </w:pPr>
      <w:r>
        <w:rPr>
          <w:sz w:val="23"/>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gty2523-2720f261e0dbf35e53334c3e40612965a94f63593a9b9ea5bff980b16604ec6d.doc</w:t>
    </w:r>
    <w:r>
      <w:rPr>
        <w:sz w:val="16"/>
      </w:rPr>
      <w:fldChar w:fldCharType="end"/>
    </w:r>
    <w:r>
      <w:rPr/>
      <w:t xml:space="preserve"> </w:t>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44"/>
      </w:rPr>
    </w:pPr>
    <w:r>
      <w:rPr>
        <w:b/>
        <w:bCs/>
        <w:sz w:val="4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2808" w:leader="none"/>
      </w:tabs>
      <w:spacing w:lineRule="atLeast" w:line="240"/>
      <w:jc w:val="both"/>
      <w:outlineLvl w:val="0"/>
    </w:pPr>
    <w:rPr>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40"/>
      <w:ind w:hanging="0" w:start="0" w:end="180"/>
      <w:jc w:val="center"/>
    </w:pPr>
    <w:rPr>
      <w:u w:val="single"/>
    </w:rPr>
  </w:style>
  <w:style w:type="paragraph" w:styleId="BodyText">
    <w:name w:val="Body Text"/>
    <w:basedOn w:val="Normal"/>
    <w:pPr>
      <w:tabs>
        <w:tab w:val="clear" w:pos="720"/>
        <w:tab w:val="right" w:pos="2808" w:leader="none"/>
      </w:tabs>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right" w:pos="5040" w:leader="none"/>
      </w:tabs>
      <w:spacing w:lineRule="atLeast" w:line="240"/>
      <w:ind w:hanging="720" w:start="702" w:end="0"/>
      <w:jc w:val="both"/>
    </w:pPr>
    <w:rPr>
      <w:sz w:val="23"/>
    </w:rPr>
  </w:style>
  <w:style w:type="paragraph" w:styleId="BodyTextIndent2">
    <w:name w:val="Body Text Indent 2"/>
    <w:basedOn w:val="Normal"/>
    <w:qFormat/>
    <w:pPr>
      <w:spacing w:lineRule="atLeast" w:line="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2000-09-19T12:01:00Z</dcterms:created>
  <dc:creator>Jon Christopher Bourne</dc:creator>
  <dc:description/>
  <dc:language>en-CA</dc:language>
  <cp:lastModifiedBy>cabrams</cp:lastModifiedBy>
  <cp:lastPrinted>1999-01-27T17:18:00Z</cp:lastPrinted>
  <dcterms:modified xsi:type="dcterms:W3CDTF">2000-09-19T16:50:00Z</dcterms:modified>
  <cp:revision>11</cp:revision>
  <dc:subject/>
  <dc:title>EXHIBIT "B-1"</dc:title>
</cp:coreProperties>
</file>