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u w:val="single"/>
        </w:rPr>
        <w:t>ANNEX “A”</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GENERAL TERMS &amp; CONDITIONS (“GTC”)</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 xml:space="preserve">to a Confirmation Letter dated </w:t>
      </w:r>
      <w:r>
        <w:rPr>
          <w:rFonts w:eastAsia="Arial Narrow" w:cs="Arial Narrow" w:ascii="Arial Narrow" w:hAnsi="Arial Narrow"/>
          <w:b/>
          <w:bCs/>
          <w:sz w:val="18"/>
          <w:szCs w:val="18"/>
        </w:rPr>
        <w:fldChar w:fldCharType="begin"/>
      </w:r>
      <w:r>
        <w:rPr>
          <w:sz w:val="18"/>
          <w:b/>
          <w:szCs w:val="18"/>
          <w:bCs/>
          <w:rFonts w:eastAsia="Arial Narrow" w:cs="Arial Narrow" w:ascii="Arial Narrow" w:hAnsi="Arial Narrow"/>
        </w:rPr>
        <w:instrText xml:space="preserve"> DATE \@"MMMM\ d', 'yyyy" </w:instrText>
      </w:r>
      <w:r>
        <w:rPr>
          <w:sz w:val="18"/>
          <w:b/>
          <w:szCs w:val="18"/>
          <w:bCs/>
          <w:rFonts w:eastAsia="Arial Narrow" w:cs="Arial Narrow" w:ascii="Arial Narrow" w:hAnsi="Arial Narrow"/>
        </w:rPr>
        <w:fldChar w:fldCharType="separate"/>
      </w:r>
      <w:r>
        <w:rPr>
          <w:sz w:val="18"/>
          <w:b/>
          <w:szCs w:val="18"/>
          <w:bCs/>
          <w:rFonts w:eastAsia="Arial Narrow" w:cs="Arial Narrow" w:ascii="Arial Narrow" w:hAnsi="Arial Narrow"/>
        </w:rPr>
        <w:t>September 28, 2025</w:t>
      </w:r>
      <w:r>
        <w:rPr>
          <w:sz w:val="18"/>
          <w:b/>
          <w:szCs w:val="18"/>
          <w:bCs/>
          <w:rFonts w:eastAsia="Arial Narrow" w:cs="Arial Narrow" w:ascii="Arial Narrow" w:hAnsi="Arial Narrow"/>
        </w:rPr>
        <w:fldChar w:fldCharType="end"/>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between __________. and</w:t>
      </w:r>
    </w:p>
    <w:p>
      <w:pPr>
        <w:pStyle w:val="Normal"/>
        <w:jc w:val="center"/>
        <w:rPr>
          <w:rFonts w:ascii="Arial Narrow" w:hAnsi="Arial Narrow" w:eastAsia="Arial Narrow" w:cs="Arial Narrow"/>
          <w:b/>
          <w:bCs/>
          <w:sz w:val="18"/>
          <w:szCs w:val="18"/>
        </w:rPr>
      </w:pPr>
      <w:r>
        <w:rPr>
          <w:rFonts w:eastAsia="Arial Narrow" w:cs="Arial Narrow" w:ascii="Arial Narrow" w:hAnsi="Arial Narrow"/>
          <w:b/>
          <w:bCs/>
          <w:sz w:val="18"/>
          <w:szCs w:val="18"/>
        </w:rPr>
        <w:t>Enron Capital &amp; Trade Resources Canada Corp.</w:t>
      </w:r>
    </w:p>
    <w:p>
      <w:pPr>
        <w:pStyle w:val="Normal"/>
        <w:rPr>
          <w:rFonts w:ascii="Arial Narrow" w:hAnsi="Arial Narrow" w:eastAsia="Arial Narrow" w:cs="Arial Narrow"/>
          <w:b/>
          <w:bCs/>
          <w:sz w:val="18"/>
          <w:szCs w:val="18"/>
        </w:rPr>
      </w:pPr>
      <w:r>
        <w:rPr>
          <w:rFonts w:eastAsia="Arial Narrow" w:cs="Arial Narrow" w:ascii="Arial Narrow" w:hAnsi="Arial Narrow"/>
          <w:b/>
          <w:bCs/>
          <w:sz w:val="18"/>
          <w:szCs w:val="18"/>
        </w:rPr>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t>This Annex “A” is part of and is incorporated into the Confirmation Letter to which this Annex “A” is attached.  When a Master Firm Gas Purchase/Sale Agreement is executed by the parties, it will (i)  govern all transactions for the purchase and sale of natural gas between the parties which were previously governed by a GTC, and (ii) supersede each such GTC.</w:t>
      </w:r>
    </w:p>
    <w:p>
      <w:pPr>
        <w:pStyle w:val="Normal"/>
        <w:jc w:val="both"/>
        <w:rPr/>
      </w:pPr>
      <w:r>
        <w:rPr>
          <w:rFonts w:eastAsia="Arial Narrow" w:cs="Arial Narrow" w:ascii="Arial Narrow" w:hAnsi="Arial Narrow"/>
          <w:b/>
          <w:bCs/>
          <w:sz w:val="18"/>
          <w:szCs w:val="18"/>
          <w:u w:val="single"/>
        </w:rPr>
        <w:t>1.  Quantity Obligations</w:t>
      </w:r>
      <w:r>
        <w:rPr>
          <w:rFonts w:eastAsia="Arial Narrow" w:cs="Arial Narrow" w:ascii="Arial Narrow" w:hAnsi="Arial Narrow"/>
          <w:sz w:val="18"/>
          <w:szCs w:val="18"/>
        </w:rPr>
        <w:t>.  All gas shall be nominated at the Delivery Point on a firm basis.  If on any day a party fails to deliver or receive the DCQ, then such occurrence shall constitute a "</w:t>
      </w:r>
      <w:r>
        <w:rPr>
          <w:rFonts w:eastAsia="Arial Narrow" w:cs="Arial Narrow" w:ascii="Arial Narrow" w:hAnsi="Arial Narrow"/>
          <w:sz w:val="18"/>
          <w:szCs w:val="18"/>
          <w:u w:val="single"/>
        </w:rPr>
        <w:t>Default</w:t>
      </w:r>
      <w:r>
        <w:rPr>
          <w:rFonts w:eastAsia="Arial Narrow" w:cs="Arial Narrow" w:ascii="Arial Narrow" w:hAnsi="Arial Narrow"/>
          <w:sz w:val="18"/>
          <w:szCs w:val="18"/>
        </w:rPr>
        <w:t>" and the "</w:t>
      </w:r>
      <w:r>
        <w:rPr>
          <w:rFonts w:eastAsia="Arial Narrow" w:cs="Arial Narrow" w:ascii="Arial Narrow" w:hAnsi="Arial Narrow"/>
          <w:sz w:val="18"/>
          <w:szCs w:val="18"/>
          <w:u w:val="single"/>
        </w:rPr>
        <w:t>Default Quantity</w:t>
      </w:r>
      <w:r>
        <w:rPr>
          <w:rFonts w:eastAsia="Arial Narrow" w:cs="Arial Narrow" w:ascii="Arial Narrow" w:hAnsi="Arial Narrow"/>
          <w:sz w:val="18"/>
          <w:szCs w:val="18"/>
        </w:rPr>
        <w:t xml:space="preserve">" shall be the numerical difference between the DCQ and the amount of gas delivered or taken.  Upon Default, the defaulting party shall pay to the other party an amount equal to the </w:t>
      </w:r>
      <w:r>
        <w:rPr>
          <w:rFonts w:eastAsia="Arial Narrow" w:cs="Arial Narrow" w:ascii="Arial Narrow" w:hAnsi="Arial Narrow"/>
          <w:sz w:val="18"/>
          <w:szCs w:val="18"/>
          <w:u w:val="single"/>
        </w:rPr>
        <w:t>sum</w:t>
      </w:r>
      <w:r>
        <w:rPr>
          <w:rFonts w:eastAsia="Arial Narrow" w:cs="Arial Narrow" w:ascii="Arial Narrow" w:hAnsi="Arial Narrow"/>
          <w:sz w:val="18"/>
          <w:szCs w:val="18"/>
        </w:rPr>
        <w:t xml:space="preserve"> of the product of the Default Quantity multiplied by the Replacement Price Differential </w:t>
      </w:r>
      <w:r>
        <w:rPr>
          <w:rFonts w:eastAsia="Arial Narrow" w:cs="Arial Narrow" w:ascii="Arial Narrow" w:hAnsi="Arial Narrow"/>
          <w:sz w:val="18"/>
          <w:szCs w:val="18"/>
          <w:u w:val="single"/>
        </w:rPr>
        <w:t>plus</w:t>
      </w:r>
      <w:r>
        <w:rPr>
          <w:rFonts w:eastAsia="Arial Narrow" w:cs="Arial Narrow" w:ascii="Arial Narrow" w:hAnsi="Arial Narrow"/>
          <w:sz w:val="18"/>
          <w:szCs w:val="18"/>
        </w:rPr>
        <w:t xml:space="preserve"> liquidated damages equal to $0.15 multiplied by the energy content of the Default Quantity.  "</w:t>
      </w:r>
      <w:r>
        <w:rPr>
          <w:rFonts w:eastAsia="Arial Narrow" w:cs="Arial Narrow" w:ascii="Arial Narrow" w:hAnsi="Arial Narrow"/>
          <w:sz w:val="18"/>
          <w:szCs w:val="18"/>
          <w:u w:val="single"/>
        </w:rPr>
        <w:t>Replacement Price Differential</w:t>
      </w:r>
      <w:r>
        <w:rPr>
          <w:rFonts w:eastAsia="Arial Narrow" w:cs="Arial Narrow" w:ascii="Arial Narrow" w:hAnsi="Arial Narrow"/>
          <w:sz w:val="18"/>
          <w:szCs w:val="18"/>
        </w:rPr>
        <w:t>" means (i) in the event of a Seller's Default, the positive difference obtained by subtracting the Contract Price from the cost to Buyer, including incremental transportation costs and other basis adjustments, to replace the Default Quantity for such day and (ii) in the event of a Buyer's Default, the positive difference obtained by subtracting from the Contract Price the price obtained by Seller in an incremental, arms</w:t>
        <w:noBreakHyphen/>
        <w:t xml:space="preserve">length sale(s) to a third party of a quantity equal to the Default Quantity for such day, including incremental transportation costs and other basis amounts gained or lost by Seller in reselling the Default Quantity.  </w:t>
      </w:r>
    </w:p>
    <w:p>
      <w:pPr>
        <w:pStyle w:val="Normal"/>
        <w:jc w:val="both"/>
        <w:rPr>
          <w:rFonts w:ascii="Arial Narrow" w:hAnsi="Arial Narrow" w:eastAsia="Arial Narrow" w:cs="Arial Narrow"/>
          <w:b/>
          <w:bCs/>
          <w:sz w:val="18"/>
          <w:szCs w:val="18"/>
        </w:rPr>
      </w:pPr>
      <w:r>
        <w:rPr>
          <w:rFonts w:eastAsia="Arial Narrow" w:cs="Arial Narrow" w:ascii="Arial Narrow" w:hAnsi="Arial Narrow"/>
          <w:b/>
          <w:bCs/>
          <w:sz w:val="18"/>
          <w:szCs w:val="18"/>
          <w:u w:val="single"/>
        </w:rPr>
        <w:t>2.  Early Termination</w:t>
      </w:r>
      <w:r>
        <w:rPr>
          <w:rFonts w:eastAsia="Arial Narrow" w:cs="Arial Narrow" w:ascii="Arial Narrow" w:hAnsi="Arial Narrow"/>
          <w:sz w:val="18"/>
          <w:szCs w:val="18"/>
        </w:rPr>
        <w:t>.  If a Triggering Event occurs with respect to either party during a Period of Delivery, the other party (the "</w:t>
      </w:r>
      <w:r>
        <w:rPr>
          <w:rFonts w:eastAsia="Arial Narrow" w:cs="Arial Narrow" w:ascii="Arial Narrow" w:hAnsi="Arial Narrow"/>
          <w:sz w:val="18"/>
          <w:szCs w:val="18"/>
          <w:u w:val="single"/>
        </w:rPr>
        <w:t>Notifying Party</w:t>
      </w:r>
      <w:r>
        <w:rPr>
          <w:rFonts w:eastAsia="Arial Narrow" w:cs="Arial Narrow" w:ascii="Arial Narrow" w:hAnsi="Arial Narrow"/>
          <w:sz w:val="18"/>
          <w:szCs w:val="18"/>
        </w:rPr>
        <w:t>") may upon 3 days written notice to the first party establish a date on which any or all transactions governed by a GTC will terminate ("</w:t>
      </w:r>
      <w:r>
        <w:rPr>
          <w:rFonts w:eastAsia="Arial Narrow" w:cs="Arial Narrow" w:ascii="Arial Narrow" w:hAnsi="Arial Narrow"/>
          <w:sz w:val="18"/>
          <w:szCs w:val="18"/>
          <w:u w:val="single"/>
        </w:rPr>
        <w:t>Early Termination Date</w:t>
      </w:r>
      <w:r>
        <w:rPr>
          <w:rFonts w:eastAsia="Arial Narrow" w:cs="Arial Narrow" w:ascii="Arial Narrow" w:hAnsi="Arial Narrow"/>
          <w:sz w:val="18"/>
          <w:szCs w:val="18"/>
        </w:rPr>
        <w:t>") and withhold any payments then due.  The Notifying Party shall calculate its damages, including its associated costs and counsel's fees, resulting from the termination of the selected transactions (the "</w:t>
      </w:r>
      <w:r>
        <w:rPr>
          <w:rFonts w:eastAsia="Arial Narrow" w:cs="Arial Narrow" w:ascii="Arial Narrow" w:hAnsi="Arial Narrow"/>
          <w:sz w:val="18"/>
          <w:szCs w:val="18"/>
          <w:u w:val="single"/>
        </w:rPr>
        <w:t>Termination Payment</w:t>
      </w:r>
      <w:r>
        <w:rPr>
          <w:rFonts w:eastAsia="Arial Narrow" w:cs="Arial Narrow" w:ascii="Arial Narrow" w:hAnsi="Arial Narrow"/>
          <w:sz w:val="18"/>
          <w:szCs w:val="18"/>
        </w:rPr>
        <w:t>").  The Termination Payment will be determined by (i) comparing the value of (a) the remaining Period of Delivery, DCQ and Contract Price under each such transaction had it not been terminated to (b) the average of quotes from three bona-fide third-party energy swap dealers’ quotes for equivalent quantities for the remaining Period of Delivery and (ii) ascertaining the associated costs and counsel’s fees.  Upon netting terminated transactions, if the calculation of the Termination Payment does not result in damages to the Notifying Party, the Termination Payment shall be zero.  The Notifying Party shall provide the Affected Party a written statement of the amount of the Termination Payment.  The Affected Party shall pay the Termination Payment to the Notifying Party within 10 days of receipt of such statement.  At the time for payment of any Termination Payment, each party shall pay to the other party all additional amounts payable by it pursuant hereto.  "</w:t>
      </w:r>
      <w:r>
        <w:rPr>
          <w:rFonts w:eastAsia="Arial Narrow" w:cs="Arial Narrow" w:ascii="Arial Narrow" w:hAnsi="Arial Narrow"/>
          <w:sz w:val="18"/>
          <w:szCs w:val="18"/>
          <w:u w:val="single"/>
        </w:rPr>
        <w:t>Triggering Event</w:t>
      </w:r>
      <w:r>
        <w:rPr>
          <w:rFonts w:eastAsia="Arial Narrow" w:cs="Arial Narrow" w:ascii="Arial Narrow" w:hAnsi="Arial Narrow"/>
          <w:sz w:val="18"/>
          <w:szCs w:val="18"/>
        </w:rPr>
        <w:t>" means, with respect to a party (the "</w:t>
      </w:r>
      <w:r>
        <w:rPr>
          <w:rFonts w:eastAsia="Arial Narrow" w:cs="Arial Narrow" w:ascii="Arial Narrow" w:hAnsi="Arial Narrow"/>
          <w:sz w:val="18"/>
          <w:szCs w:val="18"/>
          <w:u w:val="single"/>
        </w:rPr>
        <w:t>Affected Party</w:t>
      </w:r>
      <w:r>
        <w:rPr>
          <w:rFonts w:eastAsia="Arial Narrow" w:cs="Arial Narrow" w:ascii="Arial Narrow" w:hAnsi="Arial Narrow"/>
          <w:sz w:val="18"/>
          <w:szCs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(e) the Affected Party's unexcused failure to deliver or take the DCQ for a cumulative period of 10 or more days in a 3 month period. </w:t>
      </w:r>
    </w:p>
    <w:p>
      <w:pPr>
        <w:pStyle w:val="Normal"/>
        <w:jc w:val="both"/>
        <w:rPr/>
      </w:pPr>
      <w:r>
        <w:rPr>
          <w:rFonts w:eastAsia="Arial Narrow" w:cs="Arial Narrow" w:ascii="Arial Narrow" w:hAnsi="Arial Narrow"/>
          <w:b/>
          <w:bCs/>
          <w:sz w:val="18"/>
          <w:szCs w:val="18"/>
          <w:u w:val="single"/>
        </w:rPr>
        <w:t>3.  Other Events</w:t>
      </w:r>
      <w:r>
        <w:rPr>
          <w:rFonts w:eastAsia="Arial Narrow" w:cs="Arial Narrow" w:ascii="Arial Narrow" w:hAnsi="Arial Narrow"/>
          <w:sz w:val="18"/>
          <w:szCs w:val="18"/>
        </w:rPr>
        <w:t>.  If the Affected Party's activities become subject to regulation of any kind (other than with respect to New Taxes) to a  different extent than that existing on the date hereof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eastAsia="Arial Narrow" w:cs="Arial Narrow" w:ascii="Arial Narrow" w:hAnsi="Arial Narrow"/>
          <w:b/>
          <w:bCs/>
          <w:sz w:val="18"/>
          <w:szCs w:val="18"/>
          <w:u w:val="single"/>
        </w:rPr>
        <w:t>4.  Payments</w:t>
      </w:r>
      <w:r>
        <w:rPr>
          <w:rFonts w:eastAsia="Arial Narrow" w:cs="Arial Narrow" w:ascii="Arial Narrow" w:hAnsi="Arial Narrow"/>
          <w:sz w:val="18"/>
          <w:szCs w:val="18"/>
        </w:rPr>
        <w:t>.  By the 20th day of each month Seller shall provide Buyer a written statement covering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closest business day.  Payment of all funds shall be made by cheque or wire transfer in such manner that funds are immediately available to the payee on the applicable due date.  Interest on past due amounts shall accrue at the lesser of the rate of 10% per annum or the maximum rate permitted by law.</w:t>
      </w:r>
    </w:p>
    <w:p>
      <w:pPr>
        <w:pStyle w:val="Normal"/>
        <w:jc w:val="both"/>
        <w:rPr/>
      </w:pPr>
      <w:r>
        <w:rPr>
          <w:rFonts w:eastAsia="Arial Narrow" w:cs="Arial Narrow" w:ascii="Arial Narrow" w:hAnsi="Arial Narrow"/>
          <w:b/>
          <w:bCs/>
          <w:sz w:val="18"/>
          <w:szCs w:val="18"/>
          <w:u w:val="single"/>
        </w:rPr>
        <w:t>5.  Taxes</w:t>
      </w:r>
      <w:r>
        <w:rPr>
          <w:rFonts w:eastAsia="Arial Narrow" w:cs="Arial Narrow" w:ascii="Arial Narrow" w:hAnsi="Arial Narrow"/>
          <w:sz w:val="18"/>
          <w:szCs w:val="18"/>
        </w:rPr>
        <w:t>.</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The Contract Price includes full reimburse</w:t>
        <w:softHyphen/>
        <w:t>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Notwithstanding the foregoing, if a tax payable by either party is enacted and effective after the date hereof (a "</w:t>
      </w:r>
      <w:r>
        <w:rPr>
          <w:rFonts w:eastAsia="Arial Narrow" w:cs="Arial Narrow" w:ascii="Arial Narrow" w:hAnsi="Arial Narrow"/>
          <w:sz w:val="18"/>
          <w:szCs w:val="18"/>
          <w:u w:val="single"/>
        </w:rPr>
        <w:t>New Tax</w:t>
      </w:r>
      <w:r>
        <w:rPr>
          <w:rFonts w:eastAsia="Arial Narrow" w:cs="Arial Narrow" w:ascii="Arial Narrow" w:hAnsi="Arial Narrow"/>
          <w:sz w:val="18"/>
          <w:szCs w:val="18"/>
        </w:rPr>
        <w:t>"), which has a material impact on this transaction, the taxed party may declare an Early Termination Date for all transactions governed by a GTC.  The Early Termination Date shall be effected as if a Triggering Event had occurred and the Termination Payment calculated as herein set forth; provided, the parties shall share equally any gain or loss.</w:t>
      </w:r>
    </w:p>
    <w:p>
      <w:pPr>
        <w:pStyle w:val="Normal"/>
        <w:jc w:val="both"/>
        <w:rPr/>
      </w:pPr>
      <w:r>
        <w:rPr>
          <w:rFonts w:eastAsia="Arial Narrow" w:cs="Arial Narrow" w:ascii="Arial Narrow" w:hAnsi="Arial Narrow"/>
          <w:b/>
          <w:bCs/>
          <w:sz w:val="18"/>
          <w:szCs w:val="18"/>
          <w:u w:val="single"/>
        </w:rPr>
        <w:t>6.  Force Majeure</w:t>
      </w:r>
      <w:r>
        <w:rPr>
          <w:rFonts w:eastAsia="Arial Narrow" w:cs="Arial Narrow" w:ascii="Arial Narrow" w:hAnsi="Arial Narrow"/>
          <w:sz w:val="18"/>
          <w:szCs w:val="18"/>
        </w:rPr>
        <w:t xml:space="preserve">.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Except with respect to payment obliga</w:t>
        <w:softHyphen/>
        <w:t xml:space="preserve">tions, in the event either party is rendered unable, wholly or in part, by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carry out its obligations, it is agreed that upon such party's giving notice of such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eastAsia="Arial Narrow" w:cs="Arial Narrow" w:ascii="Arial Narrow" w:hAnsi="Arial Narrow"/>
          <w:sz w:val="18"/>
          <w:szCs w:val="18"/>
          <w:u w:val="single"/>
        </w:rPr>
        <w:t>Force Majeure</w:t>
      </w:r>
      <w:r>
        <w:rPr>
          <w:rFonts w:eastAsia="Arial Narrow" w:cs="Arial Narrow" w:ascii="Arial Narrow" w:hAnsi="Arial Narrow"/>
          <w:sz w:val="18"/>
          <w:szCs w:val="18"/>
        </w:rPr>
        <w:t xml:space="preserve"> for a period of up to 60 days.  “Force Majeure” means only an interruption, curtailment or prorationing by NOVA of NOVA Inventory Transfer (“NIT”) service, which affects all NOVA shippers who had nominated for deliveries or receipts to take place by NIT on that day.  On any day or any portion of a day that there is a Force Majeure and either party provides notice of the Force Majeure, Seller shall deliver to Buyer, and Buyer shall receive from Seller, that percentage of the DCQ which is equal to the percentage amount of Gas which according to NOVA had been nominated by all NOVA shippers for NIT and which NOVA is not interrupting, curtailing or prorationing on that day or that portion of a day.</w:t>
      </w:r>
    </w:p>
    <w:p>
      <w:pPr>
        <w:pStyle w:val="Normal"/>
        <w:jc w:val="both"/>
        <w:rPr/>
      </w:pPr>
      <w:r>
        <w:rPr>
          <w:rFonts w:eastAsia="Arial Narrow" w:cs="Arial Narrow" w:ascii="Arial Narrow" w:hAnsi="Arial Narrow"/>
          <w:b/>
          <w:bCs/>
          <w:sz w:val="18"/>
          <w:szCs w:val="18"/>
          <w:u w:val="single"/>
        </w:rPr>
        <w:t>7.   Title, Risk of Loss and Indemnity</w:t>
      </w:r>
      <w:r>
        <w:rPr>
          <w:rFonts w:eastAsia="Arial Narrow" w:cs="Arial Narrow" w:ascii="Arial Narrow" w:hAnsi="Arial Narrow"/>
          <w:sz w:val="18"/>
          <w:szCs w:val="18"/>
        </w:rPr>
        <w:t xml:space="preserve">.  Seller warrants that title to the gas is free from all liens and adverse claims and warrants its right to sell the same.  As between the parties, Seller shall be deemed to be in exclusive control and possession of the gas nominated hereunder and responsible for any damage or injury caused thereby prior to the time the same shall have been delivered to Buyer.  After delivery of gas to Buyer at the Delivery Point,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provided neither party shall be liable in respect of any claim to the extent same resulted from the negligence of any indemnified party.  Title to the gas scheduled hereunder shall pass from Seller to Buyer at the Delivery Point.</w:t>
      </w:r>
    </w:p>
    <w:p>
      <w:pPr>
        <w:pStyle w:val="Normal"/>
        <w:jc w:val="both"/>
        <w:rPr/>
      </w:pPr>
      <w:r>
        <w:rPr>
          <w:rFonts w:eastAsia="Arial Narrow" w:cs="Arial Narrow" w:ascii="Arial Narrow" w:hAnsi="Arial Narrow"/>
          <w:b/>
          <w:bCs/>
          <w:sz w:val="18"/>
          <w:szCs w:val="18"/>
          <w:u w:val="single"/>
        </w:rPr>
        <w:t xml:space="preserve">8. </w:t>
      </w:r>
      <w:r>
        <w:rPr>
          <w:rFonts w:eastAsia="Arial Narrow" w:cs="Arial Narrow" w:ascii="Arial Narrow" w:hAnsi="Arial Narrow"/>
          <w:sz w:val="18"/>
          <w:szCs w:val="18"/>
          <w:u w:val="single"/>
        </w:rPr>
        <w:t xml:space="preserve"> </w:t>
      </w:r>
      <w:r>
        <w:rPr>
          <w:rFonts w:eastAsia="Arial Narrow" w:cs="Arial Narrow" w:ascii="Arial Narrow" w:hAnsi="Arial Narrow"/>
          <w:b/>
          <w:bCs/>
          <w:sz w:val="18"/>
          <w:szCs w:val="18"/>
          <w:u w:val="single"/>
        </w:rPr>
        <w:t>Damages/Law</w:t>
      </w:r>
      <w:r>
        <w:rPr>
          <w:rFonts w:eastAsia="Arial Narrow" w:cs="Arial Narrow" w:ascii="Arial Narrow" w:hAnsi="Arial Narrow"/>
          <w:sz w:val="18"/>
          <w:szCs w:val="18"/>
        </w:rPr>
        <w:t>.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w:t>
      </w:r>
      <w:r>
        <w:rPr>
          <w:rFonts w:eastAsia="Arial Narrow" w:cs="Arial Narrow" w:ascii="Arial Narrow" w:hAnsi="Arial Narrow"/>
          <w:b/>
          <w:bCs/>
          <w:sz w:val="18"/>
          <w:szCs w:val="18"/>
        </w:rPr>
        <w:t xml:space="preserve">  </w:t>
      </w:r>
      <w:r>
        <w:rPr>
          <w:rFonts w:eastAsia="Arial Narrow" w:cs="Arial Narrow" w:ascii="Arial Narrow" w:hAnsi="Arial Narrow"/>
          <w:sz w:val="18"/>
          <w:szCs w:val="18"/>
        </w:rPr>
        <w:t>This transaction and the rights and duties of the parties arising herefrom shall be governed by the laws of the Province of Alberta.</w:t>
      </w:r>
    </w:p>
    <w:p>
      <w:pPr>
        <w:pStyle w:val="Normal"/>
        <w:jc w:val="both"/>
        <w:rPr/>
      </w:pPr>
      <w:r>
        <w:rPr>
          <w:rFonts w:eastAsia="Arial Narrow" w:cs="Arial Narrow" w:ascii="Arial Narrow" w:hAnsi="Arial Narrow"/>
          <w:b/>
          <w:bCs/>
          <w:sz w:val="18"/>
          <w:szCs w:val="18"/>
          <w:u w:val="single"/>
        </w:rPr>
        <w:t>9.  Netting and Set-off</w:t>
      </w:r>
      <w:r>
        <w:rPr>
          <w:rFonts w:eastAsia="Arial Narrow" w:cs="Arial Narrow" w:ascii="Arial Narrow" w:hAnsi="Arial Narrow"/>
          <w:sz w:val="18"/>
          <w:szCs w:val="18"/>
        </w:rPr>
        <w:t>.  Each party reserves to itself, to the extent not herein expressly waived or denied, all rights, set-offs, counter</w:t>
        <w:softHyphen/>
        <w:t>claims and other remedies and defenses to which such party may be entitled arising from or out of this Confirmation Letter and GTC.  The obligations to make payments in connection with this transaction and any other physical gas sale agreements between the parties hereto shall be netted against each other.</w:t>
      </w:r>
    </w:p>
    <w:p>
      <w:pPr>
        <w:pStyle w:val="Normal"/>
        <w:tabs>
          <w:tab w:val="left" w:pos="720" w:leader="none"/>
        </w:tabs>
        <w:jc w:val="both"/>
        <w:rPr/>
      </w:pPr>
      <w:r>
        <w:rPr>
          <w:rFonts w:eastAsia="Arial Narrow" w:cs="Arial Narrow" w:ascii="Arial Narrow" w:hAnsi="Arial Narrow"/>
          <w:b/>
          <w:bCs/>
          <w:sz w:val="18"/>
          <w:szCs w:val="18"/>
          <w:u w:val="single"/>
        </w:rPr>
        <w:t>10.  NOVA Inventory Transfer</w:t>
      </w:r>
      <w:r>
        <w:rPr>
          <w:rFonts w:eastAsia="Arial Narrow" w:cs="Arial Narrow" w:ascii="Arial Narrow" w:hAnsi="Arial Narrow"/>
          <w:sz w:val="18"/>
          <w:szCs w:val="18"/>
        </w:rPr>
        <w:t>. If NOVA Inventory Transfers, as they operate on the date hereof, are discontinued, or changed, then (a) the Parties shall in good faith promptly enter into negotiations to change the Delivery Point to a point on the NOVA transmission system which allows for firm service delivery of the Gas to be delivered under this Transaction.  If the Parties fail to agree on a new Delivery Point within five (5) Business Days, the Delivery Point under this Transaction shall be amended to AECO “C” by either Party giving notice thereof to the other; and (b) following any change in the Delivery Point, Seller shall continue to be responsible for the payment of all NOVA costs for delivery of Gas to the new Delivery Point; and (c) if NOVA institutes a fee for title transfers (or if pursuant to section (a), the Delivery Point is changed to AECO “C” and AECO “C” imposes a fee for title transfers), such fee shall be paid by Seller, and if such fee is charged to Buyer, then Seller shall reimburse Buyer for such fee.</w:t>
      </w:r>
    </w:p>
    <w:p>
      <w:pPr>
        <w:pStyle w:val="Normal"/>
        <w:jc w:val="both"/>
        <w:rPr>
          <w:rFonts w:ascii="Arial Narrow" w:hAnsi="Arial Narrow" w:eastAsia="Arial Narrow" w:cs="Arial Narrow"/>
          <w:sz w:val="18"/>
          <w:szCs w:val="18"/>
        </w:rPr>
      </w:pPr>
      <w:r>
        <w:rPr>
          <w:rFonts w:eastAsia="Arial Narrow" w:cs="Arial Narrow" w:ascii="Arial Narrow" w:hAnsi="Arial Narrow"/>
          <w:sz w:val="18"/>
          <w:szCs w:val="18"/>
        </w:rPr>
      </w:r>
    </w:p>
    <w:sectPr>
      <w:headerReference w:type="default" r:id="rId2"/>
      <w:headerReference w:type="first" r:id="rId3"/>
      <w:footerReference w:type="default" r:id="rId4"/>
      <w:footerReference w:type="first" r:id="rId5"/>
      <w:type w:val="nextPage"/>
      <w:pgSz w:w="12240" w:h="15840"/>
      <w:pgMar w:left="576" w:right="576" w:gutter="0" w:header="720" w:top="1152" w:footer="288" w:bottom="432"/>
      <w:pgNumType w:start="1" w:fmt="decimal"/>
      <w:cols w:num="2" w:space="432" w:equalWidth="true" w:sep="false"/>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LEGAL\PREC\GTC-NIT.DOC</w:t>
      <w:tab/>
      <w:tab/>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szCs w:val="16"/>
      </w:rPr>
      <w:t>LEGAL\PREC\GTC-NIT.DOC</w:t>
      <w:tab/>
      <w:tab/>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r>
      <w:rPr>
        <w:sz w:val="16"/>
        <w:szCs w:val="16"/>
      </w:rPr>
      <w:t xml:space="preserve"> </w:t>
    </w:r>
    <w:r>
      <w:rPr>
        <w:sz w:val="16"/>
        <w:szCs w:val="16"/>
      </w:rPr>
      <w:fldChar w:fldCharType="begin"/>
    </w:r>
    <w:r>
      <w:rPr>
        <w:sz w:val="16"/>
        <w:szCs w:val="16"/>
      </w:rPr>
      <w:instrText xml:space="preserve"> DATE \@"M/d/yyyy" </w:instrText>
    </w:r>
    <w:r>
      <w:rPr>
        <w:sz w:val="16"/>
        <w:szCs w:val="16"/>
      </w:rPr>
      <w:fldChar w:fldCharType="separate"/>
    </w:r>
    <w:r>
      <w:rPr>
        <w:sz w:val="16"/>
        <w:szCs w:val="16"/>
      </w:rPr>
      <w:t>9/28/2025</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sz w:val="18"/>
        <w:szCs w:val="18"/>
      </w:rPr>
    </w:pPr>
    <w:r>
      <w:rPr>
        <w:rFonts w:eastAsia="Arial Narrow" w:cs="Arial Narrow" w:ascii="Arial Narrow" w:hAnsi="Arial Narrow"/>
        <w:sz w:val="18"/>
        <w:szCs w:val="18"/>
      </w:rPr>
      <w:t>ANNEX “A”</w:t>
    </w:r>
  </w:p>
  <w:p>
    <w:pPr>
      <w:pStyle w:val="Header"/>
      <w:rPr>
        <w:rFonts w:ascii="Arial Narrow" w:hAnsi="Arial Narrow" w:eastAsia="Arial Narrow" w:cs="Arial Narrow"/>
        <w:sz w:val="18"/>
        <w:szCs w:val="18"/>
      </w:rPr>
    </w:pPr>
    <w:r>
      <w:rPr>
        <w:rFonts w:eastAsia="Arial Narrow" w:cs="Arial Narrow" w:ascii="Arial Narrow" w:hAnsi="Arial Narrow"/>
        <w:sz w:val="18"/>
        <w:szCs w:val="18"/>
      </w:rPr>
      <w:t>GENERAL TERMS AND CONDITIONS</w:t>
    </w:r>
  </w:p>
  <w:p>
    <w:pPr>
      <w:pStyle w:val="Header"/>
      <w:rPr>
        <w:rStyle w:val="PageNumber"/>
        <w:rFonts w:ascii="Arial Narrow" w:hAnsi="Arial Narrow" w:eastAsia="Arial Narrow" w:cs="Arial Narrow"/>
        <w:sz w:val="18"/>
        <w:szCs w:val="18"/>
      </w:rPr>
    </w:pPr>
    <w:r>
      <w:rPr>
        <w:rFonts w:eastAsia="Arial Narrow" w:cs="Arial Narrow" w:ascii="Arial Narrow" w:hAnsi="Arial Narrow"/>
        <w:sz w:val="18"/>
        <w:szCs w:val="18"/>
      </w:rPr>
      <w:t xml:space="preserve">PAGE </w:t>
    </w:r>
    <w:r>
      <w:rPr>
        <w:rStyle w:val="PageNumber"/>
        <w:rFonts w:eastAsia="Arial Narrow" w:cs="Arial Narrow" w:ascii="Arial Narrow" w:hAnsi="Arial Narrow"/>
        <w:sz w:val="18"/>
        <w:szCs w:val="18"/>
      </w:rPr>
      <w:fldChar w:fldCharType="begin"/>
    </w:r>
    <w:r>
      <w:rPr>
        <w:rStyle w:val="PageNumber"/>
        <w:sz w:val="18"/>
        <w:szCs w:val="18"/>
        <w:rFonts w:eastAsia="Arial Narrow" w:cs="Arial Narrow" w:ascii="Arial Narrow" w:hAnsi="Arial Narrow"/>
      </w:rPr>
      <w:instrText xml:space="preserve"> PAGE </w:instrText>
    </w:r>
    <w:r>
      <w:rPr>
        <w:rStyle w:val="PageNumber"/>
        <w:sz w:val="18"/>
        <w:szCs w:val="18"/>
        <w:rFonts w:eastAsia="Arial Narrow" w:cs="Arial Narrow" w:ascii="Arial Narrow" w:hAnsi="Arial Narrow"/>
      </w:rPr>
      <w:fldChar w:fldCharType="separate"/>
    </w:r>
    <w:r>
      <w:rPr>
        <w:rStyle w:val="PageNumber"/>
        <w:sz w:val="18"/>
        <w:szCs w:val="18"/>
        <w:rFonts w:eastAsia="Arial Narrow" w:cs="Arial Narrow" w:ascii="Arial Narrow" w:hAnsi="Arial Narrow"/>
      </w:rPr>
      <w:t>2</w:t>
    </w:r>
    <w:r>
      <w:rPr>
        <w:rStyle w:val="PageNumber"/>
        <w:sz w:val="18"/>
        <w:szCs w:val="18"/>
        <w:rFonts w:eastAsia="Arial Narrow" w:cs="Arial Narrow" w:ascii="Arial Narrow" w:hAnsi="Arial Narrow"/>
      </w:rPr>
      <w:fldChar w:fldCharType="end"/>
    </w:r>
  </w:p>
  <w:p>
    <w:pPr>
      <w:pStyle w:val="Header"/>
      <w:rPr>
        <w:rStyle w:val="PageNumber"/>
        <w:rFonts w:ascii="Arial Narrow" w:hAnsi="Arial Narrow" w:eastAsia="Arial Narrow" w:cs="Arial Narrow"/>
        <w:sz w:val="18"/>
        <w:szCs w:val="18"/>
      </w:rPr>
    </w:pPr>
    <w:r>
      <w:rPr/>
    </w:r>
  </w:p>
  <w:p>
    <w:pPr>
      <w:pStyle w:val="Header"/>
      <w:rPr>
        <w:rStyle w:val="PageNumber"/>
        <w:rFonts w:ascii="Arial Narrow" w:hAnsi="Arial Narrow" w:eastAsia="Arial Narrow" w:cs="Arial Narrow"/>
        <w:sz w:val="18"/>
        <w:szCs w:val="18"/>
      </w:rPr>
    </w:pPr>
    <w:r>
      <w:rPr/>
    </w:r>
  </w:p>
  <w:p>
    <w:pPr>
      <w:pStyle w:val="Header"/>
      <w:rPr>
        <w:rStyle w:val="PageNumber"/>
        <w:rFonts w:ascii="Arial Narrow" w:hAnsi="Arial Narrow" w:eastAsia="Arial Narrow" w:cs="Arial Narrow"/>
        <w:sz w:val="18"/>
        <w:szCs w:val="18"/>
      </w:rPr>
    </w:pPr>
    <w:r>
      <w:rPr/>
    </w:r>
  </w:p>
  <w:p>
    <w:pPr>
      <w:pStyle w:val="Header"/>
      <w:rPr>
        <w:rStyle w:val="PageNumber"/>
        <w:rFonts w:ascii="Arial Narrow" w:hAnsi="Arial Narrow" w:eastAsia="Arial Narrow" w:cs="Arial Narrow"/>
        <w:sz w:val="18"/>
        <w:szCs w:val="18"/>
      </w:rPr>
    </w:pPr>
    <w:r>
      <w:rPr/>
    </w:r>
  </w:p>
  <w:p>
    <w:pPr>
      <w:pStyle w:val="Header"/>
      <w:rPr>
        <w:rStyle w:val="PageNumber"/>
        <w:rFonts w:ascii="Arial Narrow" w:hAnsi="Arial Narrow" w:eastAsia="Arial Narrow" w:cs="Arial Narrow"/>
        <w:sz w:val="18"/>
        <w:szCs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numPr>
        <w:ilvl w:val="1"/>
        <w:numId w:val="1"/>
      </w:numPr>
      <w:spacing w:before="0" w:after="120"/>
      <w:ind w:firstLine="720" w:start="0" w:end="0"/>
      <w:jc w:val="both"/>
      <w:outlineLvl w:val="1"/>
    </w:pPr>
    <w:rPr>
      <w:sz w:val="26"/>
      <w:szCs w:val="26"/>
    </w:rPr>
  </w:style>
  <w:style w:type="paragraph" w:styleId="Heading3">
    <w:name w:val="heading 3"/>
    <w:basedOn w:val="Normal"/>
    <w:next w:val="NormalIndent"/>
    <w:qFormat/>
    <w:pPr>
      <w:numPr>
        <w:ilvl w:val="2"/>
        <w:numId w:val="1"/>
      </w:numPr>
      <w:ind w:hanging="0" w:start="360" w:end="0"/>
      <w:outlineLvl w:val="2"/>
    </w:pPr>
    <w:rPr>
      <w:rFonts w:ascii="Courier" w:hAnsi="Courier" w:eastAsia="Courier" w:cs="Courie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5544" w:leader="none"/>
        <w:tab w:val="right" w:pos="1108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1995-07-21T21:22:00Z</dcterms:created>
  <dc:creator>Nella Cappelletto</dc:creator>
  <dc:description/>
  <cp:keywords>gtc</cp:keywords>
  <dc:language>en-CA</dc:language>
  <cp:lastModifiedBy>ncappel</cp:lastModifiedBy>
  <cp:lastPrinted>1998-02-24T12:58:00Z</cp:lastPrinted>
  <dcterms:modified xsi:type="dcterms:W3CDTF">1998-02-24T17:28:00Z</dcterms:modified>
  <cp:revision>44</cp:revision>
  <dc:subject>NIT</dc:subject>
  <dc:title>GENERAL TERMS &amp; CONDITIONS </dc:title>
</cp:coreProperties>
</file>