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start"/>
        <w:rPr>
          <w:rFonts w:ascii="Times New Roman" w:hAnsi="Times New Roman" w:cs="Times New Roman"/>
          <w:lang w:val="en-US"/>
        </w:rPr>
      </w:pPr>
      <w:r>
        <w:rPr>
          <w:rFonts w:cs="Times New Roman" w:ascii="Times New Roman" w:hAnsi="Times New Roman"/>
          <w:lang w:val="en-US"/>
        </w:rPr>
      </w:r>
    </w:p>
    <w:p>
      <w:pPr>
        <w:pStyle w:val="TITLE"/>
        <w:jc w:val="start"/>
        <w:rPr>
          <w:rFonts w:ascii="Times New Roman" w:hAnsi="Times New Roman" w:cs="Times New Roman"/>
          <w:lang w:val="en-US"/>
        </w:rPr>
      </w:pPr>
      <w:r>
        <w:rPr>
          <w:rFonts w:cs="Times New Roman" w:ascii="Times New Roman" w:hAnsi="Times New Roman"/>
          <w:lang w:val="en-US"/>
        </w:rPr>
      </w:r>
    </w:p>
    <w:p>
      <w:pPr>
        <w:pStyle w:val="TITLE"/>
        <w:jc w:val="start"/>
        <w:rPr>
          <w:rFonts w:ascii="Times New Roman" w:hAnsi="Times New Roman" w:cs="Times New Roman"/>
          <w:lang w:val="en-US"/>
        </w:rPr>
      </w:pPr>
      <w:r>
        <w:rPr>
          <w:rFonts w:cs="Times New Roman" w:ascii="Times New Roman" w:hAnsi="Times New Roman"/>
          <w:lang w:val="en-US"/>
        </w:rPr>
      </w:r>
    </w:p>
    <w:p>
      <w:pPr>
        <w:pStyle w:val="TITLE"/>
        <w:jc w:val="start"/>
        <w:rPr>
          <w:rFonts w:ascii="Times New Roman" w:hAnsi="Times New Roman" w:cs="Times New Roman"/>
          <w:lang w:val="en-US"/>
        </w:rPr>
      </w:pPr>
      <w:r>
        <w:rPr>
          <w:rFonts w:cs="Times New Roman" w:ascii="Times New Roman" w:hAnsi="Times New Roman"/>
          <w:lang w:val="en-US"/>
        </w:rPr>
      </w:r>
    </w:p>
    <w:p>
      <w:pPr>
        <w:pStyle w:val="Normal"/>
        <w:numPr>
          <w:ilvl w:val="0"/>
          <w:numId w:val="0"/>
        </w:numPr>
        <w:jc w:val="end"/>
        <w:outlineLvl w:val="0"/>
        <w:rPr>
          <w:rFonts w:ascii="Arial" w:hAnsi="Arial" w:cs="Arial"/>
          <w:sz w:val="20"/>
          <w:lang w:val="en-CA"/>
        </w:rPr>
      </w:pPr>
      <w:r>
        <w:rPr>
          <w:rFonts w:cs="Arial" w:ascii="Arial" w:hAnsi="Arial"/>
          <w:sz w:val="20"/>
          <w:lang w:val="en-CA"/>
        </w:rPr>
        <w:t>Version 1 - 8 December 1999</w:t>
      </w:r>
    </w:p>
    <w:p>
      <w:pPr>
        <w:pStyle w:val="Normal"/>
        <w:numPr>
          <w:ilvl w:val="0"/>
          <w:numId w:val="0"/>
        </w:numPr>
        <w:jc w:val="end"/>
        <w:outlineLvl w:val="0"/>
        <w:rPr>
          <w:rFonts w:ascii="Arial" w:hAnsi="Arial" w:cs="Arial"/>
          <w:sz w:val="20"/>
          <w:lang w:val="en-CA"/>
        </w:rPr>
      </w:pPr>
      <w:r>
        <w:rPr>
          <w:rFonts w:cs="Arial" w:ascii="Arial" w:hAnsi="Arial"/>
          <w:sz w:val="20"/>
          <w:lang w:val="en-CA"/>
        </w:rPr>
      </w:r>
    </w:p>
    <w:p>
      <w:pPr>
        <w:pStyle w:val="Normal"/>
        <w:numPr>
          <w:ilvl w:val="0"/>
          <w:numId w:val="0"/>
        </w:numPr>
        <w:jc w:val="center"/>
        <w:outlineLvl w:val="0"/>
        <w:rPr>
          <w:rFonts w:ascii="Arial" w:hAnsi="Arial" w:cs="Arial"/>
          <w:b/>
          <w:sz w:val="20"/>
        </w:rPr>
      </w:pPr>
      <w:r>
        <w:rPr>
          <w:rFonts w:cs="Arial" w:ascii="Arial" w:hAnsi="Arial"/>
          <w:b/>
          <w:sz w:val="20"/>
        </w:rPr>
        <w:t>ENRON AUSTRALIA FINANCE PTY.LTD.  ACN 082 245 921 ("Enron")</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ELECTRICITY FINANCIAL - AUSTRALIA</w:t>
      </w:r>
    </w:p>
    <w:p>
      <w:pPr>
        <w:pStyle w:val="Normal"/>
        <w:numPr>
          <w:ilvl w:val="0"/>
          <w:numId w:val="5"/>
        </w:numPr>
        <w:jc w:val="both"/>
        <w:outlineLvl w:val="0"/>
        <w:rPr>
          <w:rFonts w:ascii="Arial" w:hAnsi="Arial" w:cs="Arial"/>
          <w:sz w:val="20"/>
        </w:rPr>
      </w:pPr>
      <w:r>
        <w:rPr>
          <w:rFonts w:cs="Arial" w:ascii="Arial" w:hAnsi="Arial"/>
          <w:b/>
          <w:sz w:val="20"/>
          <w:u w:val="single"/>
        </w:rPr>
        <w:t>Transactions</w:t>
      </w:r>
      <w:r>
        <w:rPr>
          <w:rFonts w:cs="Arial" w:ascii="Arial" w:hAnsi="Arial"/>
          <w:sz w:val="20"/>
        </w:rPr>
        <w:t xml:space="preserve">. </w:t>
      </w:r>
    </w:p>
    <w:p>
      <w:pPr>
        <w:pStyle w:val="Normal"/>
        <w:numPr>
          <w:ilvl w:val="0"/>
          <w:numId w:val="0"/>
        </w:numPr>
        <w:jc w:val="both"/>
        <w:outlineLvl w:val="0"/>
        <w:rPr>
          <w:rFonts w:ascii="Arial" w:hAnsi="Arial" w:cs="Arial"/>
          <w:sz w:val="20"/>
        </w:rPr>
      </w:pPr>
      <w:r>
        <w:rPr>
          <w:rFonts w:cs="Arial" w:ascii="Arial" w:hAnsi="Arial"/>
          <w:sz w:val="20"/>
        </w:rPr>
      </w:r>
    </w:p>
    <w:p>
      <w:pPr>
        <w:pStyle w:val="TITLE"/>
        <w:jc w:val="both"/>
        <w:rPr>
          <w:rFonts w:ascii="Times New Roman" w:hAnsi="Times New Roman" w:cs="Times New Roman"/>
          <w:lang w:val="en-US"/>
        </w:rPr>
      </w:pPr>
      <w:r>
        <w:rPr>
          <w:rFonts w:cs="Arial" w:ascii="Arial" w:hAnsi="Arial"/>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TITLE"/>
        <w:jc w:val="start"/>
        <w:rPr>
          <w:rFonts w:ascii="Times New Roman" w:hAnsi="Times New Roman" w:cs="Times New Roman"/>
          <w:lang w:val="en-US"/>
        </w:rPr>
      </w:pPr>
      <w:r>
        <w:rPr>
          <w:rFonts w:cs="Times New Roman" w:ascii="Times New Roman" w:hAnsi="Times New Roman"/>
          <w:lang w:val="en-US"/>
        </w:rPr>
      </w:r>
    </w:p>
    <w:p>
      <w:pPr>
        <w:pStyle w:val="Normal"/>
        <w:numPr>
          <w:ilvl w:val="0"/>
          <w:numId w:val="5"/>
        </w:numPr>
        <w:spacing w:before="0" w:after="240"/>
        <w:jc w:val="both"/>
        <w:rPr/>
      </w:pPr>
      <w:r>
        <w:rPr>
          <w:rFonts w:cs="Arial" w:ascii="Arial" w:hAnsi="Arial"/>
          <w:b/>
          <w:sz w:val="20"/>
          <w:u w:val="single"/>
        </w:rPr>
        <w:t>Terms of Transaction</w:t>
      </w:r>
      <w:r>
        <w:rPr/>
        <w:t xml:space="preserve">.  </w:t>
      </w:r>
    </w:p>
    <w:p>
      <w:pPr>
        <w:pStyle w:val="BodyText3"/>
        <w:rPr>
          <w:rFonts w:ascii="Arial" w:hAnsi="Arial" w:cs="Arial"/>
          <w:lang w:val="en-CA"/>
        </w:rPr>
      </w:pPr>
      <w:r>
        <w:rPr>
          <w:rFonts w:cs="Arial" w:ascii="Arial" w:hAnsi="Arial"/>
          <w:lang w:val="en-CA"/>
        </w:rPr>
        <w:t>This Transaction supplements, forms part of, and is subject to the terms contained in 1992 multicurrency</w:t>
        <w:noBreakHyphen/>
        <w:t>cross border version of the ISDA Master Agreement (as published by International Swaps and Derivatives Association, Inc.) as if Enron and Counterparty had signed the ISDA Master Agreement without amendment subject to paragraphs 2.1 to 2.6 of these GTCs.</w:t>
      </w:r>
    </w:p>
    <w:p>
      <w:pPr>
        <w:pStyle w:val="Normal"/>
        <w:spacing w:before="0" w:after="240"/>
        <w:ind w:hanging="450" w:start="450" w:end="0"/>
        <w:jc w:val="both"/>
        <w:rPr>
          <w:rFonts w:ascii="Arial" w:hAnsi="Arial" w:cs="Arial"/>
          <w:b/>
          <w:sz w:val="20"/>
        </w:rPr>
      </w:pPr>
      <w:r>
        <w:rPr>
          <w:rFonts w:cs="Arial" w:ascii="Arial" w:hAnsi="Arial"/>
          <w:b/>
          <w:sz w:val="20"/>
        </w:rPr>
        <w:t>2.1</w:t>
        <w:tab/>
        <w:t xml:space="preserve">Schedule provisions </w:t>
      </w:r>
    </w:p>
    <w:p>
      <w:pPr>
        <w:pStyle w:val="Normal"/>
        <w:spacing w:before="0" w:after="120"/>
        <w:ind w:start="450" w:end="0"/>
        <w:jc w:val="both"/>
        <w:rPr>
          <w:rFonts w:ascii="Arial" w:hAnsi="Arial" w:cs="Arial"/>
          <w:sz w:val="20"/>
        </w:rPr>
      </w:pPr>
      <w:r>
        <w:rPr>
          <w:rFonts w:cs="Arial" w:ascii="Arial" w:hAnsi="Arial"/>
          <w:sz w:val="20"/>
        </w:rPr>
        <w:t>The schedule to the ISDA Master Agreement deemed to govern this Transaction incorporates the following provisions:</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Market Quotation and Second Method will apply.</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The Termination Currency will be Australian Dollars.</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The Calculation Agent is Enron.</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The Governing Law is to be the laws in force in the state of New South Wales.</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lang w:val="en-AU"/>
        </w:rPr>
        <w:t>The place to apply for the purpose of the definition of Business Days is Sydney.</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Contract Settlement will apply.</w:t>
      </w:r>
    </w:p>
    <w:p>
      <w:pPr>
        <w:pStyle w:val="Normal"/>
        <w:numPr>
          <w:ilvl w:val="0"/>
          <w:numId w:val="3"/>
        </w:numPr>
        <w:tabs>
          <w:tab w:val="left" w:pos="720" w:leader="none"/>
          <w:tab w:val="left" w:pos="1869" w:leader="none"/>
        </w:tabs>
        <w:spacing w:before="0" w:after="120"/>
        <w:ind w:hanging="360" w:start="810" w:end="0"/>
        <w:jc w:val="both"/>
        <w:rPr>
          <w:rFonts w:ascii="Arial" w:hAnsi="Arial" w:cs="Arial"/>
          <w:sz w:val="20"/>
        </w:rPr>
      </w:pPr>
      <w:r>
        <w:rPr>
          <w:rFonts w:eastAsia="Arial" w:cs="Arial" w:ascii="Arial" w:hAnsi="Arial"/>
          <w:sz w:val="20"/>
          <w:lang w:val="en-AU"/>
        </w:rPr>
        <w:t xml:space="preserve"> </w:t>
      </w:r>
      <w:r>
        <w:rPr>
          <w:rFonts w:cs="Arial" w:ascii="Arial" w:hAnsi="Arial"/>
          <w:sz w:val="20"/>
          <w:lang w:val="en-AU"/>
        </w:rPr>
        <w:t>Australian Financial Markets Association June 1997 Australian Addendum No. 13 - Electricity Transactions is incorporated</w:t>
      </w:r>
    </w:p>
    <w:p>
      <w:pPr>
        <w:pStyle w:val="Normal"/>
        <w:tabs>
          <w:tab w:val="clear" w:pos="720"/>
          <w:tab w:val="left" w:pos="1869" w:leader="none"/>
        </w:tabs>
        <w:spacing w:before="0" w:after="120"/>
        <w:jc w:val="both"/>
        <w:rPr>
          <w:rFonts w:ascii="Arial" w:hAnsi="Arial" w:cs="Arial"/>
          <w:sz w:val="20"/>
        </w:rPr>
      </w:pPr>
      <w:r>
        <w:rPr>
          <w:rFonts w:cs="Arial" w:ascii="Arial" w:hAnsi="Arial"/>
          <w:sz w:val="20"/>
        </w:rPr>
      </w:r>
    </w:p>
    <w:p>
      <w:pPr>
        <w:pStyle w:val="Normal"/>
        <w:spacing w:before="0" w:after="240"/>
        <w:ind w:hanging="450" w:start="450" w:end="0"/>
        <w:jc w:val="both"/>
        <w:rPr/>
      </w:pPr>
      <w:r>
        <w:rPr>
          <w:rFonts w:cs="Arial" w:ascii="Arial" w:hAnsi="Arial"/>
          <w:b/>
          <w:sz w:val="20"/>
        </w:rPr>
        <w:t>2.2</w:t>
        <w:tab/>
        <w:t>Relationship Between Parties.</w:t>
      </w:r>
      <w:r>
        <w:rPr>
          <w:sz w:val="20"/>
        </w:rPr>
        <w:t xml:space="preserve">  </w:t>
      </w:r>
    </w:p>
    <w:p>
      <w:pPr>
        <w:pStyle w:val="BodyTextIndent2"/>
        <w:spacing w:before="120" w:after="0"/>
        <w:ind w:hanging="348" w:start="798" w:end="0"/>
        <w:rPr/>
      </w:pPr>
      <w:r>
        <w:rPr>
          <w:rFonts w:cs="Arial" w:ascii="Arial" w:hAnsi="Arial"/>
        </w:rPr>
        <w:t>Each party represents to the other party that</w:t>
      </w:r>
      <w:r>
        <w:rPr/>
        <w:t xml:space="preserve"> : </w:t>
      </w:r>
    </w:p>
    <w:p>
      <w:pPr>
        <w:pStyle w:val="Normal"/>
        <w:spacing w:lineRule="exact" w:line="240" w:before="120" w:after="0"/>
        <w:ind w:hanging="360" w:start="810" w:end="0"/>
        <w:jc w:val="both"/>
        <w:rPr/>
      </w:pPr>
      <w:r>
        <w:rPr>
          <w:rFonts w:cs="Arial" w:ascii="Arial" w:hAnsi="Arial"/>
          <w:sz w:val="20"/>
        </w:rPr>
        <w:t>(a)</w:t>
        <w:tab/>
      </w:r>
      <w:r>
        <w:rPr>
          <w:rFonts w:cs="Arial" w:ascii="Arial" w:hAnsi="Arial"/>
          <w:sz w:val="20"/>
          <w:u w:val="single"/>
        </w:rPr>
        <w:t>No Reliance</w:t>
      </w:r>
      <w:r>
        <w:rPr>
          <w:rFonts w:cs="Arial" w:ascii="Arial" w:hAnsi="Arial"/>
          <w:sz w:val="20"/>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spacing w:before="120" w:after="0"/>
        <w:ind w:hanging="360" w:start="806" w:end="0"/>
        <w:rPr/>
      </w:pPr>
      <w:r>
        <w:rPr>
          <w:rFonts w:cs="Arial" w:ascii="Arial" w:hAnsi="Arial"/>
          <w:sz w:val="20"/>
        </w:rPr>
        <w:t>(b)</w:t>
        <w:tab/>
      </w:r>
      <w:r>
        <w:rPr>
          <w:rFonts w:cs="Arial" w:ascii="Arial" w:hAnsi="Arial"/>
          <w:sz w:val="20"/>
          <w:u w:val="single"/>
        </w:rPr>
        <w:t>Assessment and Understanding</w:t>
      </w:r>
      <w:r>
        <w:rPr>
          <w:rFonts w:cs="Arial" w:ascii="Arial" w:hAnsi="Arial"/>
          <w:b/>
          <w:sz w:val="20"/>
        </w:rPr>
        <w:t>.</w:t>
      </w:r>
      <w:r>
        <w:rPr>
          <w:rFonts w:cs="Arial" w:ascii="Arial" w:hAnsi="Arial"/>
          <w:sz w:val="20"/>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240"/>
        <w:ind w:hanging="360" w:start="806" w:end="0"/>
        <w:jc w:val="both"/>
        <w:rPr>
          <w:rFonts w:ascii="Arial" w:hAnsi="Arial" w:cs="Arial"/>
          <w:sz w:val="20"/>
        </w:rPr>
      </w:pPr>
      <w:r>
        <w:rPr>
          <w:rFonts w:cs="Arial" w:ascii="Arial" w:hAnsi="Arial"/>
          <w:sz w:val="20"/>
        </w:rPr>
        <w:t>(iii)</w:t>
        <w:tab/>
      </w:r>
      <w:r>
        <w:rPr>
          <w:rFonts w:cs="Arial" w:ascii="Arial" w:hAnsi="Arial"/>
          <w:sz w:val="20"/>
          <w:u w:val="single"/>
        </w:rPr>
        <w:t>Status of the Parties</w:t>
      </w:r>
      <w:r>
        <w:rPr>
          <w:rFonts w:cs="Arial" w:ascii="Arial" w:hAnsi="Arial"/>
          <w:b/>
          <w:sz w:val="20"/>
        </w:rPr>
        <w:t>.</w:t>
      </w:r>
      <w:r>
        <w:rPr>
          <w:rFonts w:cs="Arial" w:ascii="Arial" w:hAnsi="Arial"/>
          <w:sz w:val="20"/>
        </w:rPr>
        <w:t xml:space="preserve">  </w:t>
      </w:r>
      <w:r>
        <w:rPr>
          <w:rFonts w:cs="Arial" w:ascii="Arial" w:hAnsi="Arial"/>
          <w:sz w:val="20"/>
          <w:lang w:val="en-AU"/>
        </w:rPr>
        <w:t>The other party is not acting as a fiduciary or an adviser to it in respect of this Transaction.</w:t>
      </w:r>
    </w:p>
    <w:p>
      <w:pPr>
        <w:pStyle w:val="Normal"/>
        <w:tabs>
          <w:tab w:val="clear" w:pos="720"/>
          <w:tab w:val="left" w:pos="1170" w:leader="none"/>
        </w:tabs>
        <w:ind w:hanging="450" w:start="450" w:end="0"/>
        <w:jc w:val="both"/>
        <w:rPr/>
      </w:pPr>
      <w:r>
        <w:rPr>
          <w:rFonts w:cs="Arial" w:ascii="Arial" w:hAnsi="Arial"/>
          <w:b/>
          <w:sz w:val="20"/>
        </w:rPr>
        <w:t>2.3</w:t>
        <w:tab/>
        <w:t>Limitation of Liability.</w:t>
      </w:r>
      <w:r>
        <w:rPr>
          <w:rFonts w:cs="Arial" w:ascii="Arial" w:hAnsi="Arial"/>
          <w:sz w:val="20"/>
        </w:rPr>
        <w:t xml:space="preserve">  </w:t>
      </w:r>
    </w:p>
    <w:p>
      <w:pPr>
        <w:pStyle w:val="BodyTextIndent2"/>
        <w:spacing w:before="240" w:after="240"/>
        <w:ind w:start="450" w:end="0"/>
        <w:rPr>
          <w:rFonts w:ascii="Arial" w:hAnsi="Arial" w:cs="Arial"/>
        </w:rPr>
      </w:pPr>
      <w:r>
        <w:rPr>
          <w:rFonts w:cs="Arial" w:ascii="Arial" w:hAnsi="Arial"/>
        </w:rPr>
        <w:t xml:space="preserve">No party shall be required to pay or be liable for consequential or indirect damages (including loss of profits and business opportunity) to any other party; provided, however, that nothing in this provision shall affect the enforceability of Section 6(e) of the ISDA Master Agreement.  If and to the extent any payment required to be made pursuant to this Transaction is deemed to constitute liquidated damages, the parties acknowledge and agree that such damages are difficult or impossible to determine and that such payment is intended to be a reasonable approximation and genuine pre-estimate of the amount of such damages and not a penalty. </w:t>
      </w:r>
    </w:p>
    <w:p>
      <w:pPr>
        <w:pStyle w:val="Normal"/>
        <w:ind w:hanging="450" w:start="450" w:end="0"/>
        <w:rPr/>
      </w:pPr>
      <w:r>
        <w:rPr>
          <w:rFonts w:cs="Arial" w:ascii="Arial" w:hAnsi="Arial"/>
          <w:b/>
          <w:sz w:val="20"/>
        </w:rPr>
        <w:t>2.4</w:t>
        <w:tab/>
        <w:t>Electricity Transactions</w:t>
      </w:r>
      <w:r>
        <w:rPr/>
        <w:t xml:space="preserve">.  </w:t>
      </w:r>
    </w:p>
    <w:p>
      <w:pPr>
        <w:pStyle w:val="Normal"/>
        <w:spacing w:lineRule="exact" w:line="240" w:before="240" w:after="0"/>
        <w:ind w:hanging="360" w:start="810" w:end="0"/>
        <w:jc w:val="both"/>
        <w:rPr/>
      </w:pPr>
      <w:r>
        <w:rPr>
          <w:rFonts w:eastAsia="Arial" w:cs="Arial" w:ascii="Arial" w:hAnsi="Arial"/>
          <w:sz w:val="20"/>
        </w:rPr>
        <w:t xml:space="preserve"> </w:t>
      </w:r>
      <w:r>
        <w:rPr>
          <w:rFonts w:cs="Arial" w:ascii="Arial" w:hAnsi="Arial"/>
          <w:sz w:val="20"/>
        </w:rPr>
        <w:t>(i)</w:t>
        <w:tab/>
      </w:r>
      <w:r>
        <w:rPr>
          <w:rFonts w:cs="Arial" w:ascii="Arial" w:hAnsi="Arial"/>
          <w:sz w:val="20"/>
          <w:lang w:val="en-AU"/>
        </w:rPr>
        <w:t>When a Calculation Period for a Commodity Transaction is a period shorter than one day, the term “Pricing Date” for that Calculation Period means that Calculation Period.</w:t>
      </w:r>
    </w:p>
    <w:p>
      <w:pPr>
        <w:pStyle w:val="Normal"/>
        <w:spacing w:lineRule="exact" w:line="240" w:before="240" w:after="0"/>
        <w:ind w:hanging="360" w:start="810" w:end="0"/>
        <w:jc w:val="both"/>
        <w:rPr/>
      </w:pPr>
      <w:r>
        <w:rPr>
          <w:rFonts w:cs="Arial" w:ascii="Arial" w:hAnsi="Arial"/>
          <w:sz w:val="20"/>
          <w:lang w:val="en-AU"/>
        </w:rPr>
        <w:t>(ii)</w:t>
        <w:tab/>
      </w:r>
      <w:r>
        <w:rPr>
          <w:rFonts w:cs="Arial" w:ascii="Arial" w:hAnsi="Arial"/>
          <w:sz w:val="20"/>
        </w:rPr>
        <w:t>Section 7.3 of the 1993 ISDA Commodity Derivative Definitions is varied by changing the reference to “30 calendar days” where it first appears to “3 calendar months”.</w:t>
      </w:r>
    </w:p>
    <w:p>
      <w:pPr>
        <w:pStyle w:val="Normal"/>
        <w:spacing w:lineRule="exact" w:line="240" w:before="240" w:after="0"/>
        <w:ind w:hanging="360" w:start="810" w:end="0"/>
        <w:jc w:val="both"/>
        <w:rPr/>
      </w:pPr>
      <w:r>
        <w:rPr>
          <w:rFonts w:cs="Arial" w:ascii="Arial" w:hAnsi="Arial"/>
          <w:sz w:val="20"/>
        </w:rPr>
        <w:t>(iii)</w:t>
        <w:tab/>
      </w:r>
      <w:r>
        <w:rPr>
          <w:rFonts w:cs="Arial" w:ascii="Arial" w:hAnsi="Arial"/>
          <w:sz w:val="20"/>
          <w:lang w:val="en-AU"/>
        </w:rPr>
        <w:t>Except as otherwise specified in the Confirmation, the Market Disruption Events which apply to a Commodity Transaction are:</w:t>
      </w:r>
    </w:p>
    <w:p>
      <w:pPr>
        <w:pStyle w:val="Normal"/>
        <w:spacing w:lineRule="exact" w:line="240"/>
        <w:ind w:hanging="360" w:start="810" w:end="0"/>
        <w:jc w:val="both"/>
        <w:rPr>
          <w:rFonts w:ascii="Arial" w:hAnsi="Arial" w:cs="Arial"/>
          <w:sz w:val="20"/>
          <w:lang w:val="en-AU"/>
        </w:rPr>
      </w:pPr>
      <w:r>
        <w:rPr>
          <w:rFonts w:cs="Arial" w:ascii="Arial" w:hAnsi="Arial"/>
          <w:sz w:val="20"/>
          <w:lang w:val="en-AU"/>
        </w:rPr>
      </w:r>
    </w:p>
    <w:p>
      <w:pPr>
        <w:pStyle w:val="Normal"/>
        <w:spacing w:lineRule="exact" w:line="240" w:before="120" w:after="0"/>
        <w:ind w:start="810" w:end="0"/>
        <w:jc w:val="both"/>
        <w:rPr/>
      </w:pPr>
      <w:r>
        <w:rPr>
          <w:rFonts w:cs="Arial" w:ascii="Arial" w:hAnsi="Arial"/>
          <w:sz w:val="20"/>
        </w:rPr>
        <w:t>(1)</w:t>
        <w:tab/>
      </w:r>
      <w:r>
        <w:rPr>
          <w:rFonts w:cs="Arial" w:ascii="Arial" w:hAnsi="Arial"/>
          <w:sz w:val="20"/>
          <w:lang w:val="en-AU"/>
        </w:rPr>
        <w:t>Price Source Disruption;</w:t>
      </w:r>
    </w:p>
    <w:p>
      <w:pPr>
        <w:pStyle w:val="Normal"/>
        <w:spacing w:lineRule="exact" w:line="240" w:before="120" w:after="0"/>
        <w:ind w:start="810" w:end="0"/>
        <w:jc w:val="both"/>
        <w:rPr>
          <w:rFonts w:ascii="Arial" w:hAnsi="Arial" w:cs="Arial"/>
          <w:sz w:val="20"/>
          <w:lang w:val="en-AU"/>
        </w:rPr>
      </w:pPr>
      <w:r>
        <w:rPr>
          <w:rFonts w:cs="Arial" w:ascii="Arial" w:hAnsi="Arial"/>
          <w:sz w:val="20"/>
          <w:lang w:val="en-AU"/>
        </w:rPr>
        <w:t>(2)</w:t>
        <w:tab/>
        <w:t>Tax Disruption;</w:t>
      </w:r>
    </w:p>
    <w:p>
      <w:pPr>
        <w:pStyle w:val="Normal"/>
        <w:spacing w:lineRule="exact" w:line="240" w:before="120" w:after="0"/>
        <w:ind w:start="810" w:end="0"/>
        <w:jc w:val="both"/>
        <w:rPr>
          <w:rFonts w:ascii="Arial" w:hAnsi="Arial" w:cs="Arial"/>
          <w:sz w:val="20"/>
          <w:lang w:val="en-AU"/>
        </w:rPr>
      </w:pPr>
      <w:r>
        <w:rPr>
          <w:rFonts w:cs="Arial" w:ascii="Arial" w:hAnsi="Arial"/>
          <w:sz w:val="20"/>
          <w:lang w:val="en-AU"/>
        </w:rPr>
        <w:t>(3)</w:t>
        <w:tab/>
        <w:t>Material Change in Formula; and</w:t>
      </w:r>
    </w:p>
    <w:p>
      <w:pPr>
        <w:pStyle w:val="BodyText2"/>
        <w:widowControl/>
        <w:tabs>
          <w:tab w:val="clear" w:pos="0"/>
          <w:tab w:val="clear" w:pos="1009"/>
          <w:tab w:val="clear" w:pos="2018"/>
          <w:tab w:val="clear" w:pos="3027"/>
          <w:tab w:val="clear" w:pos="4036"/>
          <w:tab w:val="clear" w:pos="5046"/>
          <w:tab w:val="clear" w:pos="6055"/>
          <w:tab w:val="clear" w:pos="7064"/>
          <w:tab w:val="clear" w:pos="8073"/>
          <w:tab w:val="clear" w:pos="9082"/>
          <w:tab w:val="left" w:pos="-1009" w:leader="none"/>
        </w:tabs>
        <w:spacing w:before="120" w:after="0"/>
        <w:ind w:hanging="630" w:start="1440" w:end="0"/>
        <w:rPr>
          <w:rFonts w:ascii="Arial" w:hAnsi="Arial" w:cs="Arial"/>
          <w:sz w:val="20"/>
        </w:rPr>
      </w:pPr>
      <w:r>
        <w:rPr>
          <w:rFonts w:cs="Arial" w:ascii="Arial" w:hAnsi="Arial"/>
          <w:sz w:val="20"/>
        </w:rPr>
        <w:t>(4)</w:t>
        <w:tab/>
        <w:t>where a Specified Price for that Transaction is a spot price (as defined in the National Code) the occurrence after the Trade Date of that Commodity at a regional reference node (as defined in the National Code), a change in the location of that regional reference node or a change in the boundaries of the region (as defined in the National Code) in which that regional reference node is located.</w:t>
      </w:r>
    </w:p>
    <w:p>
      <w:pPr>
        <w:pStyle w:val="Normal"/>
        <w:tabs>
          <w:tab w:val="clear" w:pos="720"/>
          <w:tab w:val="left" w:pos="-1009" w:leader="none"/>
        </w:tabs>
        <w:ind w:hanging="630" w:start="144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s>
        <w:ind w:hanging="360" w:start="900" w:end="-5"/>
        <w:jc w:val="both"/>
        <w:rPr>
          <w:rFonts w:ascii="Arial" w:hAnsi="Arial" w:cs="Arial"/>
          <w:sz w:val="20"/>
          <w:lang w:val="en-AU"/>
        </w:rPr>
      </w:pPr>
      <w:r>
        <w:rPr>
          <w:rFonts w:cs="Arial" w:ascii="Arial" w:hAnsi="Arial"/>
          <w:sz w:val="20"/>
          <w:lang w:val="en-AU"/>
        </w:rPr>
        <w:t>(iv)  Despite Section 1(b) of the Agreement, the term “Material Change in Formula” does not apply     to:</w:t>
      </w:r>
    </w:p>
    <w:p>
      <w:pPr>
        <w:pStyle w:val="Normal"/>
        <w:tabs>
          <w:tab w:val="clear" w:pos="720"/>
          <w:tab w:val="left" w:pos="-1009" w:leader="none"/>
          <w:tab w:val="left" w:pos="2160" w:leader="none"/>
        </w:tabs>
        <w:ind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2160" w:leader="none"/>
        </w:tabs>
        <w:ind w:hanging="597" w:start="1440" w:end="-5"/>
        <w:jc w:val="both"/>
        <w:rPr>
          <w:rFonts w:ascii="Arial" w:hAnsi="Arial" w:cs="Arial"/>
          <w:sz w:val="20"/>
          <w:lang w:val="en-AU"/>
        </w:rPr>
      </w:pPr>
      <w:r>
        <w:rPr>
          <w:rFonts w:cs="Arial" w:ascii="Arial" w:hAnsi="Arial"/>
          <w:sz w:val="20"/>
          <w:lang w:val="en-AU"/>
        </w:rPr>
        <w:t>(1)</w:t>
        <w:tab/>
        <w:t>a change in VoLL (as defined the National Code); or</w:t>
      </w:r>
    </w:p>
    <w:p>
      <w:pPr>
        <w:pStyle w:val="Normal"/>
        <w:tabs>
          <w:tab w:val="clear" w:pos="720"/>
          <w:tab w:val="left" w:pos="-1009" w:leader="none"/>
        </w:tabs>
        <w:ind w:hanging="597" w:start="144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2160" w:leader="none"/>
        </w:tabs>
        <w:ind w:hanging="597" w:start="1440" w:end="-5"/>
        <w:jc w:val="both"/>
        <w:rPr>
          <w:rFonts w:ascii="Arial" w:hAnsi="Arial" w:cs="Arial"/>
          <w:sz w:val="20"/>
          <w:lang w:val="en-AU"/>
        </w:rPr>
      </w:pPr>
      <w:r>
        <w:rPr>
          <w:rFonts w:cs="Arial" w:ascii="Arial" w:hAnsi="Arial"/>
          <w:sz w:val="20"/>
          <w:lang w:val="en-AU"/>
        </w:rPr>
        <w:t>(2)</w:t>
        <w:tab/>
        <w:t>a change in the National Code that permits  spot prices (as defined in  the National Code) to be quoted as negative prices.</w:t>
      </w:r>
    </w:p>
    <w:p>
      <w:pPr>
        <w:pStyle w:val="Normal"/>
        <w:tabs>
          <w:tab w:val="clear" w:pos="720"/>
          <w:tab w:val="left" w:pos="-1009" w:leader="none"/>
          <w:tab w:val="left" w:pos="0" w:leader="none"/>
        </w:tabs>
        <w:ind w:hanging="720" w:start="720" w:end="-5"/>
        <w:jc w:val="both"/>
        <w:rPr>
          <w:rFonts w:ascii="Arial" w:hAnsi="Arial" w:cs="Arial"/>
          <w:sz w:val="20"/>
          <w:lang w:val="en-AU"/>
        </w:rPr>
      </w:pPr>
      <w:r>
        <w:rPr>
          <w:rFonts w:cs="Arial" w:ascii="Arial" w:hAnsi="Arial"/>
          <w:sz w:val="20"/>
          <w:lang w:val="en-AU"/>
        </w:rPr>
        <w:tab/>
      </w:r>
    </w:p>
    <w:p>
      <w:pPr>
        <w:pStyle w:val="Normal"/>
        <w:tabs>
          <w:tab w:val="clear" w:pos="720"/>
          <w:tab w:val="left" w:pos="-1009" w:leader="none"/>
          <w:tab w:val="left" w:pos="0" w:leader="none"/>
        </w:tabs>
        <w:ind w:hanging="360" w:start="900" w:end="-5"/>
        <w:jc w:val="both"/>
        <w:rPr>
          <w:rFonts w:ascii="Arial" w:hAnsi="Arial" w:cs="Arial"/>
          <w:sz w:val="20"/>
          <w:lang w:val="en-AU"/>
        </w:rPr>
      </w:pPr>
      <w:r>
        <w:rPr>
          <w:rFonts w:cs="Arial" w:ascii="Arial" w:hAnsi="Arial"/>
          <w:sz w:val="20"/>
          <w:lang w:val="en-AU"/>
        </w:rPr>
        <w:t>(v)</w:t>
        <w:tab/>
        <w:t>Section 7.4(c)(vii) of the 1993 ISDA Commodity Derivative Definitions is varied by inserting the following after the words “sales,”:</w:t>
      </w:r>
    </w:p>
    <w:p>
      <w:pPr>
        <w:pStyle w:val="Normal"/>
        <w:tabs>
          <w:tab w:val="clear" w:pos="720"/>
          <w:tab w:val="left" w:pos="-1009" w:leader="none"/>
        </w:tabs>
        <w:ind w:hanging="360" w:start="90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0" w:leader="none"/>
        </w:tabs>
        <w:ind w:hanging="360" w:start="900" w:end="-5"/>
        <w:jc w:val="both"/>
        <w:rPr>
          <w:rFonts w:ascii="Arial" w:hAnsi="Arial" w:cs="Arial"/>
          <w:sz w:val="20"/>
          <w:lang w:val="en-AU"/>
        </w:rPr>
      </w:pPr>
      <w:r>
        <w:rPr>
          <w:rFonts w:cs="Arial" w:ascii="Arial" w:hAnsi="Arial"/>
          <w:sz w:val="20"/>
          <w:lang w:val="en-AU"/>
        </w:rPr>
        <w:tab/>
        <w:t>“carbon tax (which term includes any tax, charge, assessment or levy relating to the emission of carbon or carbon compounds into the atmosphere and any tax, charge, assessment or levy relating to any substance characterised as a greenhouse gas or greenhouse precursor gas),”</w:t>
      </w:r>
    </w:p>
    <w:p>
      <w:pPr>
        <w:pStyle w:val="Normal"/>
        <w:tabs>
          <w:tab w:val="clear" w:pos="720"/>
          <w:tab w:val="left" w:pos="-1009" w:leader="none"/>
        </w:tabs>
        <w:ind w:hanging="720" w:start="72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1620" w:leader="none"/>
        </w:tabs>
        <w:ind w:hanging="360" w:start="900" w:end="-5"/>
        <w:jc w:val="both"/>
        <w:rPr>
          <w:rFonts w:ascii="Arial" w:hAnsi="Arial" w:cs="Arial"/>
          <w:sz w:val="20"/>
          <w:lang w:val="en-AU"/>
        </w:rPr>
      </w:pPr>
      <w:r>
        <w:rPr>
          <w:rFonts w:cs="Arial" w:ascii="Arial" w:hAnsi="Arial"/>
          <w:sz w:val="20"/>
          <w:lang w:val="en-AU"/>
        </w:rPr>
        <w:t>(vi)</w:t>
        <w:tab/>
        <w:t>The following Disruption Fallbacks apply to each Commodity Transaction in the following order, except as otherwise specified in the Confirmation:</w:t>
      </w:r>
    </w:p>
    <w:p>
      <w:pPr>
        <w:pStyle w:val="Normal"/>
        <w:tabs>
          <w:tab w:val="clear" w:pos="720"/>
          <w:tab w:val="left" w:pos="-1009" w:leader="none"/>
        </w:tabs>
        <w:ind w:end="-5"/>
        <w:jc w:val="both"/>
        <w:rPr>
          <w:rFonts w:ascii="Arial" w:hAnsi="Arial" w:cs="Arial"/>
          <w:sz w:val="20"/>
          <w:lang w:val="en-AU"/>
        </w:rPr>
      </w:pPr>
      <w:r>
        <w:rPr>
          <w:rFonts w:cs="Arial" w:ascii="Arial" w:hAnsi="Arial"/>
          <w:sz w:val="20"/>
          <w:lang w:val="en-AU"/>
        </w:rPr>
      </w:r>
    </w:p>
    <w:p>
      <w:pPr>
        <w:pStyle w:val="Normal"/>
        <w:numPr>
          <w:ilvl w:val="0"/>
          <w:numId w:val="4"/>
        </w:numPr>
        <w:tabs>
          <w:tab w:val="clear" w:pos="720"/>
          <w:tab w:val="left" w:pos="1620" w:leader="none"/>
          <w:tab w:val="left" w:pos="2160" w:leader="none"/>
          <w:tab w:val="left" w:pos="3528" w:leader="none"/>
        </w:tabs>
        <w:ind w:hanging="2628" w:start="3528" w:end="-5"/>
        <w:jc w:val="both"/>
        <w:rPr>
          <w:rFonts w:ascii="Arial" w:hAnsi="Arial" w:cs="Arial"/>
          <w:sz w:val="20"/>
          <w:lang w:val="en-AU"/>
        </w:rPr>
      </w:pPr>
      <w:r>
        <w:rPr>
          <w:rFonts w:cs="Arial" w:ascii="Arial" w:hAnsi="Arial"/>
          <w:sz w:val="20"/>
          <w:lang w:val="en-AU"/>
        </w:rPr>
        <w:t>Negotiated Fallback.</w:t>
      </w:r>
    </w:p>
    <w:p>
      <w:pPr>
        <w:pStyle w:val="Normal"/>
        <w:tabs>
          <w:tab w:val="clear" w:pos="720"/>
          <w:tab w:val="left" w:pos="1620" w:leader="none"/>
          <w:tab w:val="left" w:pos="2880" w:leader="none"/>
        </w:tabs>
        <w:ind w:hanging="2628" w:start="1440" w:end="-5"/>
        <w:jc w:val="both"/>
        <w:rPr>
          <w:rFonts w:ascii="Arial" w:hAnsi="Arial" w:cs="Arial"/>
          <w:sz w:val="20"/>
          <w:lang w:val="en-AU"/>
        </w:rPr>
      </w:pPr>
      <w:r>
        <w:rPr>
          <w:rFonts w:cs="Arial" w:ascii="Arial" w:hAnsi="Arial"/>
          <w:sz w:val="20"/>
          <w:lang w:val="en-AU"/>
        </w:rPr>
      </w:r>
    </w:p>
    <w:p>
      <w:pPr>
        <w:pStyle w:val="Normal"/>
        <w:tabs>
          <w:tab w:val="clear" w:pos="720"/>
          <w:tab w:val="left" w:pos="1620" w:leader="none"/>
        </w:tabs>
        <w:ind w:hanging="2088" w:start="900" w:end="-5"/>
        <w:jc w:val="both"/>
        <w:rPr>
          <w:rFonts w:ascii="Arial" w:hAnsi="Arial" w:cs="Arial"/>
          <w:sz w:val="20"/>
          <w:lang w:val="en-AU"/>
        </w:rPr>
      </w:pPr>
      <w:r>
        <w:rPr>
          <w:rFonts w:cs="Arial" w:ascii="Arial" w:hAnsi="Arial"/>
          <w:sz w:val="20"/>
          <w:lang w:val="en-AU"/>
        </w:rPr>
        <w:tab/>
        <w:t>(2)</w:t>
        <w:tab/>
        <w:t>Calculation Agent Determination, on the basis that:</w:t>
      </w:r>
    </w:p>
    <w:p>
      <w:pPr>
        <w:pStyle w:val="Normal"/>
        <w:tabs>
          <w:tab w:val="clear" w:pos="720"/>
          <w:tab w:val="left" w:pos="-1009" w:leader="none"/>
        </w:tabs>
        <w:ind w:start="1440" w:end="-5"/>
        <w:jc w:val="both"/>
        <w:rPr>
          <w:rFonts w:ascii="Arial" w:hAnsi="Arial" w:cs="Arial"/>
          <w:sz w:val="20"/>
          <w:lang w:val="en-AU"/>
        </w:rPr>
      </w:pPr>
      <w:r>
        <w:rPr>
          <w:rFonts w:cs="Arial" w:ascii="Arial" w:hAnsi="Arial"/>
          <w:sz w:val="20"/>
          <w:lang w:val="en-AU"/>
        </w:rPr>
      </w:r>
    </w:p>
    <w:p>
      <w:pPr>
        <w:pStyle w:val="Normal"/>
        <w:numPr>
          <w:ilvl w:val="0"/>
          <w:numId w:val="6"/>
        </w:numPr>
        <w:tabs>
          <w:tab w:val="clear" w:pos="720"/>
          <w:tab w:val="left" w:pos="-1009" w:leader="none"/>
          <w:tab w:val="left" w:pos="2160" w:leader="none"/>
          <w:tab w:val="left" w:pos="3690" w:leader="none"/>
        </w:tabs>
        <w:ind w:hanging="495" w:start="2115" w:end="-5"/>
        <w:jc w:val="both"/>
        <w:rPr>
          <w:rFonts w:ascii="Arial" w:hAnsi="Arial" w:cs="Arial"/>
          <w:sz w:val="20"/>
          <w:lang w:val="en-AU"/>
        </w:rPr>
      </w:pPr>
      <w:r>
        <w:rPr>
          <w:rFonts w:cs="Arial" w:ascii="Arial" w:hAnsi="Arial"/>
          <w:sz w:val="20"/>
          <w:lang w:val="en-AU"/>
        </w:rPr>
        <w:t>the Calculation Agent for these purposes is an expert having an office in Australia selected by the parties (or, failing agreement within two Business Days, selected in good faith by the chief executive officer for the time being of Australian Financial Markets Association (or any successor body) at the request of one of the parties);</w:t>
      </w:r>
    </w:p>
    <w:p>
      <w:pPr>
        <w:pStyle w:val="Normal"/>
        <w:numPr>
          <w:ilvl w:val="0"/>
          <w:numId w:val="0"/>
        </w:numPr>
        <w:tabs>
          <w:tab w:val="clear" w:pos="720"/>
          <w:tab w:val="left" w:pos="-1009" w:leader="none"/>
        </w:tabs>
        <w:ind w:hanging="675" w:start="2115" w:end="-5"/>
        <w:jc w:val="both"/>
        <w:rPr>
          <w:rFonts w:ascii="Arial" w:hAnsi="Arial" w:cs="Arial"/>
          <w:sz w:val="20"/>
          <w:lang w:val="en-AU"/>
        </w:rPr>
      </w:pPr>
      <w:r>
        <w:rPr>
          <w:rFonts w:cs="Arial" w:ascii="Arial" w:hAnsi="Arial"/>
          <w:sz w:val="20"/>
          <w:lang w:val="en-AU"/>
        </w:rPr>
      </w:r>
    </w:p>
    <w:p>
      <w:pPr>
        <w:pStyle w:val="Normal"/>
        <w:numPr>
          <w:ilvl w:val="0"/>
          <w:numId w:val="6"/>
        </w:numPr>
        <w:tabs>
          <w:tab w:val="clear" w:pos="720"/>
          <w:tab w:val="left" w:pos="-1009" w:leader="none"/>
          <w:tab w:val="left" w:pos="2160" w:leader="none"/>
        </w:tabs>
        <w:ind w:hanging="495" w:start="2115" w:end="-5"/>
        <w:jc w:val="both"/>
        <w:rPr>
          <w:rFonts w:ascii="Arial" w:hAnsi="Arial" w:cs="Arial"/>
          <w:sz w:val="20"/>
          <w:lang w:val="en-AU"/>
        </w:rPr>
      </w:pPr>
      <w:r>
        <w:rPr>
          <w:rFonts w:cs="Arial" w:ascii="Arial" w:hAnsi="Arial"/>
          <w:sz w:val="20"/>
          <w:lang w:val="en-AU"/>
        </w:rPr>
        <w:t>that Calculation Agent is to act as an expert (and not as an arbitrator) and must take into account the views of three other experts selected in the same manner as the Calculation Agent was selected; and</w:t>
      </w:r>
    </w:p>
    <w:p>
      <w:pPr>
        <w:pStyle w:val="Normal"/>
        <w:numPr>
          <w:ilvl w:val="0"/>
          <w:numId w:val="0"/>
        </w:numPr>
        <w:tabs>
          <w:tab w:val="clear" w:pos="720"/>
          <w:tab w:val="left" w:pos="-1009" w:leader="none"/>
        </w:tabs>
        <w:ind w:hanging="675" w:start="2115" w:end="-5"/>
        <w:jc w:val="both"/>
        <w:rPr>
          <w:rFonts w:ascii="Arial" w:hAnsi="Arial" w:cs="Arial"/>
          <w:sz w:val="20"/>
          <w:lang w:val="en-AU"/>
        </w:rPr>
      </w:pPr>
      <w:r>
        <w:rPr>
          <w:rFonts w:cs="Arial" w:ascii="Arial" w:hAnsi="Arial"/>
          <w:sz w:val="20"/>
          <w:lang w:val="en-AU"/>
        </w:rPr>
      </w:r>
    </w:p>
    <w:p>
      <w:pPr>
        <w:pStyle w:val="Normal"/>
        <w:numPr>
          <w:ilvl w:val="0"/>
          <w:numId w:val="6"/>
        </w:numPr>
        <w:tabs>
          <w:tab w:val="clear" w:pos="720"/>
          <w:tab w:val="left" w:pos="-1009" w:leader="none"/>
          <w:tab w:val="left" w:pos="2160" w:leader="none"/>
          <w:tab w:val="left" w:pos="3690" w:leader="none"/>
        </w:tabs>
        <w:ind w:hanging="540" w:start="2160" w:end="-5"/>
        <w:jc w:val="both"/>
        <w:rPr>
          <w:rFonts w:ascii="Arial" w:hAnsi="Arial" w:cs="Arial"/>
          <w:sz w:val="20"/>
          <w:lang w:val="en-AU"/>
        </w:rPr>
      </w:pPr>
      <w:r>
        <w:rPr>
          <w:rFonts w:cs="Arial" w:ascii="Arial" w:hAnsi="Arial"/>
          <w:sz w:val="20"/>
          <w:lang w:val="en-AU"/>
        </w:rPr>
        <w:t>the costs and expenses of that Calculation Agent will be borne equally by the parties.</w:t>
      </w:r>
    </w:p>
    <w:p>
      <w:pPr>
        <w:pStyle w:val="Normal"/>
        <w:tabs>
          <w:tab w:val="clear" w:pos="720"/>
          <w:tab w:val="left" w:pos="-1009" w:leader="none"/>
        </w:tabs>
        <w:ind w:start="144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s>
        <w:ind w:hanging="540" w:start="1440" w:end="0"/>
        <w:jc w:val="both"/>
        <w:rPr>
          <w:rFonts w:ascii="Arial" w:hAnsi="Arial" w:cs="Arial"/>
          <w:sz w:val="20"/>
          <w:lang w:val="en-AU"/>
        </w:rPr>
      </w:pPr>
      <w:r>
        <w:rPr>
          <w:rFonts w:cs="Arial" w:ascii="Arial" w:hAnsi="Arial"/>
          <w:sz w:val="20"/>
          <w:lang w:val="en-AU"/>
        </w:rPr>
        <w:t>(3)</w:t>
        <w:tab/>
        <w:t>No Fault Termination.</w:t>
      </w:r>
    </w:p>
    <w:p>
      <w:pPr>
        <w:pStyle w:val="Normal"/>
        <w:tabs>
          <w:tab w:val="clear" w:pos="720"/>
          <w:tab w:val="left" w:pos="-1009" w:leader="none"/>
        </w:tabs>
        <w:ind w:start="706" w:end="0"/>
        <w:jc w:val="both"/>
        <w:rPr>
          <w:rFonts w:ascii="Arial" w:hAnsi="Arial" w:cs="Arial"/>
          <w:sz w:val="20"/>
          <w:lang w:val="en-AU"/>
        </w:rPr>
      </w:pPr>
      <w:r>
        <w:rPr>
          <w:rFonts w:cs="Arial" w:ascii="Arial" w:hAnsi="Arial"/>
          <w:sz w:val="20"/>
          <w:lang w:val="en-AU"/>
        </w:rPr>
      </w:r>
    </w:p>
    <w:p>
      <w:pPr>
        <w:pStyle w:val="Normal"/>
        <w:tabs>
          <w:tab w:val="clear" w:pos="720"/>
          <w:tab w:val="left" w:pos="-1009" w:leader="none"/>
        </w:tabs>
        <w:ind w:hanging="450" w:start="990" w:end="-5"/>
        <w:jc w:val="both"/>
        <w:rPr>
          <w:rFonts w:ascii="Arial" w:hAnsi="Arial" w:cs="Arial"/>
          <w:sz w:val="20"/>
          <w:lang w:val="en-AU"/>
        </w:rPr>
      </w:pPr>
      <w:r>
        <w:rPr>
          <w:rFonts w:cs="Arial" w:ascii="Arial" w:hAnsi="Arial"/>
          <w:sz w:val="20"/>
          <w:lang w:val="en-AU"/>
        </w:rPr>
        <w:t>(vii)</w:t>
        <w:tab/>
        <w:t>The definition of “Reference Market-makers” is replaced with:</w:t>
      </w:r>
    </w:p>
    <w:p>
      <w:pPr>
        <w:pStyle w:val="Normal"/>
        <w:tabs>
          <w:tab w:val="clear" w:pos="720"/>
          <w:tab w:val="left" w:pos="-1009" w:leader="none"/>
        </w:tabs>
        <w:ind w:hanging="450" w:start="990" w:end="-5"/>
        <w:jc w:val="both"/>
        <w:rPr>
          <w:rFonts w:ascii="Arial" w:hAnsi="Arial" w:cs="Arial"/>
          <w:sz w:val="20"/>
          <w:lang w:val="en-AU"/>
        </w:rPr>
      </w:pPr>
      <w:r>
        <w:rPr>
          <w:rFonts w:cs="Arial" w:ascii="Arial" w:hAnsi="Arial"/>
          <w:sz w:val="20"/>
          <w:lang w:val="en-AU"/>
        </w:rPr>
      </w:r>
    </w:p>
    <w:p>
      <w:pPr>
        <w:pStyle w:val="BlockText"/>
        <w:tabs>
          <w:tab w:val="clear" w:pos="0"/>
          <w:tab w:val="clear" w:pos="720"/>
          <w:tab w:val="clear" w:pos="1440"/>
          <w:tab w:val="clear" w:pos="2160"/>
          <w:tab w:val="clear" w:pos="2880"/>
          <w:tab w:val="clear" w:pos="3600"/>
          <w:tab w:val="clear" w:pos="4036"/>
          <w:tab w:val="clear" w:pos="4320"/>
          <w:tab w:val="clear" w:pos="5046"/>
          <w:tab w:val="clear" w:pos="5760"/>
          <w:tab w:val="clear" w:pos="6480"/>
          <w:tab w:val="clear" w:pos="7200"/>
          <w:tab w:val="clear" w:pos="7920"/>
          <w:tab w:val="clear" w:pos="8640"/>
          <w:tab w:val="left" w:pos="-1009" w:leader="none"/>
        </w:tabs>
        <w:ind w:hanging="450" w:start="990" w:end="-5"/>
        <w:rPr>
          <w:rFonts w:ascii="Arial" w:hAnsi="Arial" w:cs="Arial"/>
          <w:sz w:val="20"/>
        </w:rPr>
      </w:pPr>
      <w:r>
        <w:rPr>
          <w:rFonts w:cs="Arial" w:ascii="Arial" w:hAnsi="Arial"/>
          <w:sz w:val="20"/>
        </w:rPr>
        <w:tab/>
        <w:t>“ “Reference Market-makers” means four experts having an office in Australia selected in good faith by the chief executive officer for the time being of Australian Financial Markets Association (or any successor body) at the request of the party determining a Market Quotation.”</w:t>
      </w:r>
    </w:p>
    <w:p>
      <w:pPr>
        <w:pStyle w:val="Normal"/>
        <w:tabs>
          <w:tab w:val="clear" w:pos="720"/>
          <w:tab w:val="left" w:pos="-1009" w:leader="none"/>
        </w:tabs>
        <w:ind w:hanging="360" w:start="90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0" w:leader="none"/>
        </w:tabs>
        <w:ind w:hanging="450" w:start="990" w:end="-5"/>
        <w:jc w:val="both"/>
        <w:rPr>
          <w:rFonts w:ascii="Arial" w:hAnsi="Arial" w:cs="Arial"/>
          <w:sz w:val="20"/>
          <w:lang w:val="en-AU"/>
        </w:rPr>
      </w:pPr>
      <w:r>
        <w:rPr>
          <w:rFonts w:cs="Arial" w:ascii="Arial" w:hAnsi="Arial"/>
          <w:sz w:val="20"/>
          <w:lang w:val="en-AU"/>
        </w:rPr>
        <w:t>(viii)</w:t>
        <w:tab/>
        <w:t>For each Calculation Period that occurs in a billing period (as defined in the National Code), the Settlement Date is the day upon which the party that is obliged to pay a Floating Amount or a Cash Settlement Amount calculated by reference to a Floating Price determined under the National Code (or, if there are two such parties, Enron), if it were a market participant (as defined in the National Code) under the National Code, would be obliged to make a payment under the National Code if a statement issued under the  National Code showed that that party owed an amount in respect of electricity bought by it in that Calculation Period.</w:t>
      </w:r>
    </w:p>
    <w:p>
      <w:pPr>
        <w:pStyle w:val="Normal"/>
        <w:tabs>
          <w:tab w:val="clear" w:pos="720"/>
          <w:tab w:val="left" w:pos="-1009" w:leader="none"/>
        </w:tabs>
        <w:ind w:hanging="180" w:start="72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s>
        <w:ind w:hanging="450" w:start="990" w:end="-5"/>
        <w:jc w:val="both"/>
        <w:rPr/>
      </w:pPr>
      <w:r>
        <w:rPr>
          <w:rFonts w:cs="Arial" w:ascii="Arial" w:hAnsi="Arial"/>
          <w:sz w:val="20"/>
          <w:lang w:val="en-AU"/>
        </w:rPr>
        <w:t>(ix)</w:t>
        <w:tab/>
      </w:r>
      <w:r>
        <w:rPr>
          <w:sz w:val="20"/>
          <w:lang w:val="en-AU"/>
        </w:rPr>
        <w:t>If</w:t>
      </w:r>
      <w:r>
        <w:rPr>
          <w:rFonts w:cs="Arial" w:ascii="Arial" w:hAnsi="Arial"/>
          <w:sz w:val="20"/>
          <w:lang w:val="en-AU"/>
        </w:rPr>
        <w:t>, with respect to a Calculation Period for a Transaction, either party is obliged to pay a Floating Amount that is a negative number (such as by operation of a Spread or other amount that is subtracted from the Commodity Reference Price), the Floating Amount for that party for that Calculation Period will be deemed to be zero, and the other party will pay to that party the absolute value of the negative Floating Amount so calculated, in addition to any other amounts otherwise owed by the other party for that Calculation Period with respect to that Transaction.</w:t>
      </w:r>
    </w:p>
    <w:p>
      <w:pPr>
        <w:pStyle w:val="Normal"/>
        <w:tabs>
          <w:tab w:val="clear" w:pos="720"/>
          <w:tab w:val="left" w:pos="-1009" w:leader="none"/>
        </w:tabs>
        <w:ind w:hanging="720" w:start="720" w:end="-5"/>
        <w:jc w:val="both"/>
        <w:rPr>
          <w:rFonts w:ascii="Arial" w:hAnsi="Arial" w:cs="Arial"/>
          <w:sz w:val="20"/>
          <w:lang w:val="en-AU"/>
        </w:rPr>
      </w:pPr>
      <w:r>
        <w:rPr>
          <w:rFonts w:cs="Arial" w:ascii="Arial" w:hAnsi="Arial"/>
          <w:sz w:val="20"/>
          <w:lang w:val="en-AU"/>
        </w:rPr>
      </w:r>
    </w:p>
    <w:p>
      <w:pPr>
        <w:pStyle w:val="Normal"/>
        <w:tabs>
          <w:tab w:val="clear" w:pos="720"/>
          <w:tab w:val="left" w:pos="1872" w:leader="none"/>
          <w:tab w:val="left" w:pos="2880" w:leader="none"/>
          <w:tab w:val="left" w:pos="3888" w:leader="none"/>
          <w:tab w:val="left" w:pos="4896" w:leader="none"/>
          <w:tab w:val="left" w:pos="5904" w:leader="none"/>
          <w:tab w:val="left" w:pos="6912" w:leader="none"/>
          <w:tab w:val="right" w:pos="9806" w:leader="none"/>
        </w:tabs>
        <w:ind w:hanging="450" w:start="990" w:end="0"/>
        <w:jc w:val="both"/>
        <w:rPr>
          <w:rFonts w:ascii="Arial" w:hAnsi="Arial" w:cs="Arial"/>
          <w:sz w:val="20"/>
          <w:lang w:val="en-AU"/>
        </w:rPr>
      </w:pPr>
      <w:r>
        <w:rPr>
          <w:rFonts w:cs="Arial" w:ascii="Arial" w:hAnsi="Arial"/>
          <w:sz w:val="20"/>
          <w:lang w:val="en-AU"/>
        </w:rPr>
        <w:t>(xi</w:t>
        <w:tab/>
        <w:t>Section 9 of the 1993 ISDA Commodity Derivative Definitions does not apply.  For the purposes of any calculations referred to in those Definitions (unless otherwise specified), all percentages and quantities used in or resulting from such calculations, and all Australian Dollars (as defined in the 1991 ISDA Definitions) denominated amounts resulting from such calculations (including, without limitation, Fixed Amounts, Floating Amounts and Cash Settlement Amounts), will be rounded in the manner determined in good faith by the Calculation Agent having regard to the Calculation Agent’s usual practices.</w:t>
      </w:r>
    </w:p>
    <w:p>
      <w:pPr>
        <w:pStyle w:val="BodyTextIndent2"/>
        <w:ind w:start="0" w:end="0"/>
        <w:rPr>
          <w:rFonts w:ascii="Arial" w:hAnsi="Arial" w:eastAsia="Arial" w:cs="Arial"/>
          <w:lang w:val="en-AU"/>
        </w:rPr>
      </w:pPr>
      <w:r>
        <w:rPr>
          <w:rFonts w:eastAsia="Arial" w:cs="Arial" w:ascii="Arial" w:hAnsi="Arial"/>
          <w:lang w:val="en-AU"/>
        </w:rPr>
        <w:t xml:space="preserve"> </w:t>
      </w:r>
    </w:p>
    <w:p>
      <w:pPr>
        <w:pStyle w:val="Normal"/>
        <w:numPr>
          <w:ilvl w:val="1"/>
          <w:numId w:val="2"/>
        </w:numPr>
        <w:rPr>
          <w:rFonts w:ascii="Arial" w:hAnsi="Arial" w:cs="Arial"/>
          <w:b/>
          <w:sz w:val="20"/>
        </w:rPr>
      </w:pPr>
      <w:r>
        <w:rPr>
          <w:rFonts w:cs="Arial" w:ascii="Arial" w:hAnsi="Arial"/>
          <w:b/>
          <w:sz w:val="20"/>
        </w:rPr>
        <w:t>Goods and Services Tax</w:t>
      </w:r>
    </w:p>
    <w:p>
      <w:pPr>
        <w:pStyle w:val="Normal"/>
        <w:rPr>
          <w:rFonts w:ascii="Arial" w:hAnsi="Arial" w:cs="Arial"/>
          <w:b/>
          <w:sz w:val="20"/>
        </w:rPr>
      </w:pPr>
      <w:r>
        <w:rPr>
          <w:rFonts w:cs="Arial" w:ascii="Arial" w:hAnsi="Arial"/>
          <w:b/>
          <w:sz w:val="20"/>
        </w:rPr>
      </w:r>
    </w:p>
    <w:p>
      <w:pPr>
        <w:pStyle w:val="Normal"/>
        <w:ind w:start="720" w:end="0"/>
        <w:jc w:val="center"/>
        <w:rPr>
          <w:rFonts w:ascii="Arial" w:hAnsi="Arial" w:cs="Arial"/>
          <w:b/>
          <w:i/>
          <w:i/>
          <w:sz w:val="20"/>
        </w:rPr>
      </w:pPr>
      <w:r>
        <w:rPr>
          <w:rFonts w:cs="Arial" w:ascii="Arial" w:hAnsi="Arial"/>
          <w:b/>
          <w:i/>
          <w:sz w:val="20"/>
        </w:rPr>
        <w:t>[GST clause to be inserted]</w:t>
      </w:r>
    </w:p>
    <w:p>
      <w:pPr>
        <w:pStyle w:val="Normal"/>
        <w:ind w:start="720" w:end="0"/>
        <w:rPr>
          <w:rFonts w:ascii="Arial" w:hAnsi="Arial" w:cs="Arial"/>
          <w:b/>
          <w:i/>
          <w:i/>
          <w:sz w:val="20"/>
        </w:rPr>
      </w:pPr>
      <w:r>
        <w:rPr>
          <w:rFonts w:cs="Arial" w:ascii="Arial" w:hAnsi="Arial"/>
          <w:b/>
          <w:i/>
          <w:sz w:val="20"/>
        </w:rPr>
      </w:r>
    </w:p>
    <w:p>
      <w:pPr>
        <w:pStyle w:val="Normal"/>
        <w:numPr>
          <w:ilvl w:val="0"/>
          <w:numId w:val="0"/>
        </w:numPr>
        <w:ind w:hanging="450" w:start="450" w:end="0"/>
        <w:jc w:val="both"/>
        <w:outlineLvl w:val="0"/>
        <w:rPr/>
      </w:pPr>
      <w:r>
        <w:rPr>
          <w:rFonts w:cs="Arial" w:ascii="Arial" w:hAnsi="Arial"/>
          <w:sz w:val="20"/>
        </w:rPr>
        <w:t>[</w:t>
      </w:r>
      <w:r>
        <w:rPr>
          <w:rFonts w:cs="Arial" w:ascii="Arial" w:hAnsi="Arial"/>
          <w:b/>
          <w:sz w:val="20"/>
        </w:rPr>
        <w:t xml:space="preserve">2.6 </w:t>
        <w:tab/>
        <w:t>Collateral Arrangements</w:t>
      </w:r>
      <w:r>
        <w:rPr>
          <w:rFonts w:cs="Arial" w:ascii="Arial" w:hAnsi="Arial"/>
          <w:sz w:val="20"/>
        </w:rPr>
        <w:t xml:space="preserve">. </w:t>
      </w:r>
    </w:p>
    <w:p>
      <w:pPr>
        <w:pStyle w:val="Normal"/>
        <w:numPr>
          <w:ilvl w:val="0"/>
          <w:numId w:val="0"/>
        </w:numPr>
        <w:ind w:hanging="450" w:start="450" w:end="0"/>
        <w:jc w:val="both"/>
        <w:outlineLvl w:val="0"/>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rFonts w:cs="Arial" w:ascii="Arial" w:hAnsi="Arial"/>
        </w:rPr>
        <w:footnoteReference w:id="2"/>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pPr>
      <w:r>
        <w:rPr/>
        <w:t xml:space="preserve">  </w:t>
      </w:r>
    </w:p>
    <w:p>
      <w:pPr>
        <w:pStyle w:val="Normal"/>
        <w:keepNext w:val="true"/>
        <w:keepLines/>
        <w:rPr>
          <w:rFonts w:ascii="Arial" w:hAnsi="Arial" w:cs="Arial"/>
          <w:sz w:val="20"/>
          <w:lang w:val="en-AU"/>
        </w:rPr>
      </w:pPr>
      <w:r>
        <w:rPr>
          <w:rFonts w:cs="Arial" w:ascii="Arial" w:hAnsi="Arial"/>
          <w:sz w:val="20"/>
          <w:lang w:val="en-AU"/>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 xml:space="preserve">G:\Legal\online\GTCprec </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/mnt/main-storage/datasets/enron-docs/doc/gtc.doc</w:t>
    </w:r>
    <w:r>
      <w:rPr>
        <w:rStyle w:val="PageNumber"/>
        <w:sz w:val="12"/>
      </w:rPr>
      <w:fldChar w:fldCharType="end"/>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i/>
      </w:rPr>
      <w:t xml:space="preserve">Draft dated </w:t>
    </w:r>
    <w:r>
      <w:rPr>
        <w:b/>
        <w:i/>
      </w:rPr>
      <w:fldChar w:fldCharType="begin"/>
    </w:r>
    <w:r>
      <w:rPr>
        <w:i/>
        <w:b/>
      </w:rPr>
      <w:instrText xml:space="preserve"> DATE \@"dd\/MM\/yy" </w:instrText>
    </w:r>
    <w:r>
      <w:rPr>
        <w:i/>
        <w:b/>
      </w:rPr>
      <w:fldChar w:fldCharType="separate"/>
    </w:r>
    <w:r>
      <w:rPr>
        <w:i/>
        <w:b/>
      </w:rPr>
      <w:t>28/09/25</w:t>
    </w:r>
    <w:r>
      <w:rPr>
        <w:i/>
        <w:b/>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450"/>
        </w:tabs>
        <w:ind w:start="450" w:hanging="450"/>
      </w:pPr>
      <w:rPr/>
    </w:lvl>
    <w:lvl w:ilvl="1">
      <w:start w:val="5"/>
      <w:numFmt w:val="decimal"/>
      <w:lvlText w:val="%1.%2"/>
      <w:lvlJc w:val="start"/>
      <w:pPr>
        <w:tabs>
          <w:tab w:val="num" w:pos="450"/>
        </w:tabs>
        <w:ind w:start="450" w:hanging="45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4248"/>
        </w:tabs>
        <w:ind w:start="4248" w:hanging="1188"/>
      </w:pPr>
    </w:lvl>
  </w:abstractNum>
  <w:abstractNum w:abstractNumId="5">
    <w:lvl w:ilvl="0">
      <w:start w:val="1"/>
      <w:numFmt w:val="decimal"/>
      <w:lvlText w:val="%1."/>
      <w:lvlJc w:val="start"/>
      <w:pPr>
        <w:tabs>
          <w:tab w:val="num" w:pos="720"/>
        </w:tabs>
        <w:ind w:start="720" w:hanging="720"/>
      </w:pPr>
      <w:rPr>
        <w:i w:val="false"/>
        <w:b/>
        <w:rFonts w:ascii="Arial" w:hAnsi="Arial" w:cs="Arial"/>
      </w:rPr>
    </w:lvl>
    <w:lvl w:ilvl="1">
      <w:start w:val="4"/>
      <w:isLgl/>
      <w:numFmt w:val="decimal"/>
      <w:lvlText w:val="%1.%2"/>
      <w:lvlJc w:val="start"/>
      <w:pPr>
        <w:tabs>
          <w:tab w:val="num" w:pos="450"/>
        </w:tabs>
        <w:ind w:start="450" w:hanging="45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6">
    <w:lvl w:ilvl="0">
      <w:start w:val="1"/>
      <w:numFmt w:val="upperLetter"/>
      <w:lvlText w:val="(%1)"/>
      <w:lvlJc w:val="start"/>
      <w:pPr>
        <w:tabs>
          <w:tab w:val="num" w:pos="4410"/>
        </w:tabs>
        <w:ind w:start="4320" w:hanging="27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0"/>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ind w:hanging="0" w:start="720" w:end="0"/>
      <w:outlineLvl w:val="2"/>
    </w:pPr>
    <w:rPr>
      <w:sz w:val="20"/>
      <w:u w:val="single"/>
    </w:rPr>
  </w:style>
  <w:style w:type="paragraph" w:styleId="Heading4">
    <w:name w:val="heading 4"/>
    <w:basedOn w:val="Normal"/>
    <w:next w:val="Normal"/>
    <w:qFormat/>
    <w:pPr>
      <w:keepNext w:val="true"/>
      <w:numPr>
        <w:ilvl w:val="3"/>
        <w:numId w:val="1"/>
      </w:numPr>
      <w:spacing w:before="0" w:after="240"/>
      <w:ind w:hanging="0" w:start="0" w:end="180"/>
      <w:jc w:val="center"/>
      <w:outlineLvl w:val="3"/>
    </w:pPr>
    <w:rPr>
      <w:u w:val="single"/>
    </w:rPr>
  </w:style>
  <w:style w:type="paragraph" w:styleId="Heading5">
    <w:name w:val="heading 5"/>
    <w:basedOn w:val="Normal"/>
    <w:next w:val="Normal"/>
    <w:qFormat/>
    <w:pPr>
      <w:keepNext w:val="true"/>
      <w:numPr>
        <w:ilvl w:val="4"/>
        <w:numId w:val="1"/>
      </w:numPr>
      <w:spacing w:before="0" w:after="240"/>
      <w:outlineLvl w:val="4"/>
    </w:pPr>
    <w:rPr>
      <w:b/>
      <w:sz w:val="18"/>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keepLines/>
      <w:numPr>
        <w:ilvl w:val="6"/>
        <w:numId w:val="1"/>
      </w:numPr>
      <w:outlineLvl w:val="6"/>
    </w:pPr>
    <w:rPr>
      <w:b/>
      <w:sz w:val="20"/>
    </w:rPr>
  </w:style>
  <w:style w:type="character" w:styleId="WW8Num2z0">
    <w:name w:val="WW8Num2z0"/>
    <w:qFormat/>
    <w:rPr/>
  </w:style>
  <w:style w:type="character" w:styleId="WW8Num3z0">
    <w:name w:val="WW8Num3z0"/>
    <w:qFormat/>
    <w:rPr>
      <w:rFonts w:ascii="Symbol" w:hAnsi="Symbol" w:cs="Symbol"/>
      <w:color w:val="auto"/>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7z0">
    <w:name w:val="WW8Num27z0"/>
    <w:qFormat/>
    <w:rPr>
      <w:rFonts w:ascii="Symbol" w:hAnsi="Symbol" w:cs="Symbol"/>
    </w:rPr>
  </w:style>
  <w:style w:type="character" w:styleId="WW8Num29z0">
    <w:name w:val="WW8Num29z0"/>
    <w:qFormat/>
    <w:rPr/>
  </w:style>
  <w:style w:type="character" w:styleId="WW8Num30z0">
    <w:name w:val="WW8Num30z0"/>
    <w:qFormat/>
    <w:rPr>
      <w:rFonts w:ascii="Arial" w:hAnsi="Arial" w:cs="Arial"/>
      <w:b/>
      <w:i w:val="false"/>
    </w:rPr>
  </w:style>
  <w:style w:type="character" w:styleId="WW8Num30z1">
    <w:name w:val="WW8Num30z1"/>
    <w:qFormat/>
    <w:rPr/>
  </w:style>
  <w:style w:type="character" w:styleId="WW8Num31z0">
    <w:name w:val="WW8Num31z0"/>
    <w:qFormat/>
    <w:rPr>
      <w:b w:val="false"/>
      <w:u w:val="none"/>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16"/>
      <w:lang w:eastAsia="en-US"/>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rPr>
  </w:style>
  <w:style w:type="paragraph" w:styleId="BodyText">
    <w:name w:val="Body Text"/>
    <w:basedOn w:val="Normal"/>
    <w:pPr>
      <w:spacing w:lineRule="exact" w:line="240"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rPr>
  </w:style>
  <w:style w:type="paragraph" w:styleId="TechInit">
    <w:name w:val="Tech Init"/>
    <w:basedOn w:val="Normal"/>
    <w:qFormat/>
    <w:pPr/>
    <w:rPr>
      <w:rFonts w:ascii="Dutch Roman   Roman 8) (FW, Por" w:hAnsi="Dutch Roman   Roman 8) (FW, Por" w:cs="Dutch Roman   Roman 8) (FW, Por"/>
    </w:rPr>
  </w:style>
  <w:style w:type="paragraph" w:styleId="Technical">
    <w:name w:val="Technical"/>
    <w:basedOn w:val="Normal"/>
    <w:qFormat/>
    <w:pPr/>
    <w:rPr>
      <w:rFonts w:ascii="Dutch Roman   Roman 8) (FW, Por" w:hAnsi="Dutch Roman   Roman 8) (FW, Por" w:cs="Dutch Roman   Roman 8) (FW, Por"/>
    </w:rPr>
  </w:style>
  <w:style w:type="paragraph" w:styleId="HIGHLIGHT2">
    <w:name w:val="HIGHLIGHT 2"/>
    <w:basedOn w:val="Normal"/>
    <w:qFormat/>
    <w:pPr/>
    <w:rPr>
      <w:rFonts w:ascii="Dutch Roman   Roman 8) (FW, Por" w:hAnsi="Dutch Roman   Roman 8) (FW, Por" w:cs="Dutch Roman   Roman 8) (FW, Por"/>
    </w:rPr>
  </w:style>
  <w:style w:type="paragraph" w:styleId="HIGHLIGHT3">
    <w:name w:val="HIGHLIGHT 3"/>
    <w:basedOn w:val="Normal"/>
    <w:qFormat/>
    <w:pPr/>
    <w:rPr>
      <w:rFonts w:ascii="Dutch Roman   Roman 8) (FW, Por" w:hAnsi="Dutch Roman   Roman 8) (FW, Por" w:cs="Dutch Roman   Roman 8) (FW, Por"/>
    </w:rPr>
  </w:style>
  <w:style w:type="paragraph" w:styleId="LETTERHEAD">
    <w:name w:val="LETTERHEAD"/>
    <w:basedOn w:val="Normal"/>
    <w:qFormat/>
    <w:pPr>
      <w:jc w:val="center"/>
    </w:pPr>
    <w:rPr>
      <w:rFonts w:ascii="Dutch Roman   Roman 8) (FW, Por" w:hAnsi="Dutch Roman   Roman 8) (FW, Por" w:cs="Dutch Roman   Roman 8) (FW, Por"/>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MEMORANDUM">
    <w:name w:val="MEMORANDUM"/>
    <w:basedOn w:val="Normal"/>
    <w:qFormat/>
    <w:pPr>
      <w:jc w:val="center"/>
    </w:pPr>
    <w:rPr>
      <w:rFonts w:ascii="Dutch Roman   Roman 8) (FW, Por" w:hAnsi="Dutch Roman   Roman 8) (FW, Por" w:cs="Dutch Roman   Roman 8) (FW, Por"/>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rPr>
  </w:style>
  <w:style w:type="paragraph" w:styleId="SMALL">
    <w:name w:val="SMALL"/>
    <w:basedOn w:val="Normal"/>
    <w:qFormat/>
    <w:pPr/>
    <w:rPr>
      <w:rFonts w:ascii="Dutch Roman   Roman 8) (FW, Por" w:hAnsi="Dutch Roman   Roman 8) (FW, Por" w:cs="Dutch Roman   Roman 8) (FW, Por"/>
    </w:rPr>
  </w:style>
  <w:style w:type="paragraph" w:styleId="FINE">
    <w:name w:val="FINE"/>
    <w:basedOn w:val="Normal"/>
    <w:qFormat/>
    <w:pPr/>
    <w:rPr>
      <w:rFonts w:ascii="Dutch Roman   Roman 8) (FW, Por" w:hAnsi="Dutch Roman   Roman 8) (FW, Por" w:cs="Dutch Roman   Roman 8) (FW, Por"/>
    </w:rPr>
  </w:style>
  <w:style w:type="paragraph" w:styleId="LARGE">
    <w:name w:val="LARGE"/>
    <w:basedOn w:val="Normal"/>
    <w:qFormat/>
    <w:pPr/>
    <w:rPr>
      <w:rFonts w:ascii="Dutch Roman   Roman 8) (FW, Por" w:hAnsi="Dutch Roman   Roman 8) (FW, Por" w:cs="Dutch Roman   Roman 8) (FW, Por"/>
    </w:rPr>
  </w:style>
  <w:style w:type="paragraph" w:styleId="EXTRALARGE">
    <w:name w:val="EXTRA LARGE"/>
    <w:basedOn w:val="Normal"/>
    <w:qFormat/>
    <w:pPr/>
    <w:rPr>
      <w:rFonts w:ascii="Dutch Roman   Roman 8) (FW, Por" w:hAnsi="Dutch Roman   Roman 8) (FW, Por" w:cs="Dutch Roman   Roman 8) (FW, Por"/>
    </w:rPr>
  </w:style>
  <w:style w:type="paragraph" w:styleId="VERYLARGE">
    <w:name w:val="VERY LARGE"/>
    <w:basedOn w:val="Normal"/>
    <w:qFormat/>
    <w:pPr/>
    <w:rPr>
      <w:rFonts w:ascii="Dutch Roman   Roman 8) (FW, Por" w:hAnsi="Dutch Roman   Roman 8) (FW, Por" w:cs="Dutch Roman   Roman 8) (FW, Por"/>
    </w:rPr>
  </w:style>
  <w:style w:type="paragraph" w:styleId="ENVELOPE">
    <w:name w:val="ENVELOPE"/>
    <w:basedOn w:val="Normal"/>
    <w:qFormat/>
    <w:pPr/>
    <w:rPr>
      <w:rFonts w:ascii="Dutch Roman   Roman 8) (FW, Por" w:hAnsi="Dutch Roman   Roman 8) (FW, Por" w:cs="Dutch Roman   Roman 8) (FW, Por"/>
    </w:rPr>
  </w:style>
  <w:style w:type="paragraph" w:styleId="RightPar">
    <w:name w:val="Right Par"/>
    <w:basedOn w:val="Normal"/>
    <w:qFormat/>
    <w:pPr>
      <w:ind w:firstLine="720" w:start="0" w:end="0"/>
    </w:pPr>
    <w:rPr>
      <w:rFonts w:ascii="Dutch Roman   Roman 8) (FW, Por" w:hAnsi="Dutch Roman   Roman 8) (FW, Por" w:cs="Dutch Roman   Roman 8) (FW, Por"/>
    </w:rPr>
  </w:style>
  <w:style w:type="paragraph" w:styleId="Bibliogrphy">
    <w:name w:val="Bibliogrphy"/>
    <w:basedOn w:val="Normal"/>
    <w:qFormat/>
    <w:pPr>
      <w:ind w:firstLine="720" w:start="720" w:end="0"/>
    </w:pPr>
    <w:rPr>
      <w:rFonts w:ascii="Dutch Roman   Roman 8) (FW, Por" w:hAnsi="Dutch Roman   Roman 8) (FW, Por" w:cs="Dutch Roman   Roman 8) (FW, Por"/>
    </w:rPr>
  </w:style>
  <w:style w:type="paragraph" w:styleId="Subheading">
    <w:name w:val="Subheading"/>
    <w:basedOn w:val="Normal"/>
    <w:qFormat/>
    <w:pPr/>
    <w:rPr>
      <w:rFonts w:ascii="Dutch Roman   Roman 8) (FW, Por" w:hAnsi="Dutch Roman   Roman 8) (FW, Por" w:cs="Dutch Roman   Roman 8) (FW, Por"/>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rPr>
  </w:style>
  <w:style w:type="paragraph" w:styleId="Document">
    <w:name w:val="Document"/>
    <w:basedOn w:val="Normal"/>
    <w:qFormat/>
    <w:pPr/>
    <w:rPr>
      <w:rFonts w:ascii="Dutch Roman   Roman 8) (FW, Por" w:hAnsi="Dutch Roman   Roman 8) (FW, Por" w:cs="Dutch Roman   Roman 8) (FW, Por"/>
    </w:rPr>
  </w:style>
  <w:style w:type="paragraph" w:styleId="BodyTextIndent">
    <w:name w:val="Body Text Indent"/>
    <w:basedOn w:val="Normal"/>
    <w:pPr>
      <w:ind w:hanging="0" w:start="720" w:end="0"/>
    </w:pPr>
    <w:rPr>
      <w:sz w:val="20"/>
    </w:rPr>
  </w:style>
  <w:style w:type="paragraph" w:styleId="BodyTextIndent2">
    <w:name w:val="Body Text Indent 2"/>
    <w:basedOn w:val="Normal"/>
    <w:qFormat/>
    <w:pPr>
      <w:keepNext w:val="true"/>
      <w:spacing w:before="0" w:after="240"/>
      <w:ind w:hanging="0" w:start="720" w:end="0"/>
      <w:jc w:val="both"/>
    </w:pPr>
    <w:rPr>
      <w:sz w:val="20"/>
    </w:rPr>
  </w:style>
  <w:style w:type="paragraph" w:styleId="Style11">
    <w:name w:val="Style1"/>
    <w:basedOn w:val="Heading6"/>
    <w:qFormat/>
    <w:pPr>
      <w:numPr>
        <w:ilvl w:val="0"/>
        <w:numId w:val="0"/>
      </w:numPr>
      <w:spacing w:before="0" w:after="240"/>
      <w:ind w:firstLine="720" w:start="0" w:end="0"/>
      <w:jc w:val="both"/>
      <w:outlineLvl w:val="9"/>
    </w:pPr>
    <w:rPr>
      <w:i w:val="false"/>
    </w:rPr>
  </w:style>
  <w:style w:type="paragraph" w:styleId="BodyText3">
    <w:name w:val="Body Text 3"/>
    <w:basedOn w:val="Normal"/>
    <w:qFormat/>
    <w:pPr>
      <w:spacing w:before="0" w:after="240"/>
      <w:jc w:val="both"/>
    </w:pPr>
    <w:rPr>
      <w:sz w:val="20"/>
    </w:rPr>
  </w:style>
  <w:style w:type="paragraph" w:styleId="TITLE">
    <w:name w:val="TITLE"/>
    <w:basedOn w:val="Normal"/>
    <w:qFormat/>
    <w:pPr>
      <w:jc w:val="center"/>
    </w:pPr>
    <w:rPr>
      <w:rFonts w:ascii="Times" w:hAnsi="Times" w:cs="Times"/>
      <w:sz w:val="20"/>
      <w:lang w:val="en-CA"/>
    </w:rPr>
  </w:style>
  <w:style w:type="paragraph" w:styleId="BodyTextIndent3">
    <w:name w:val="Body Text Indent 3"/>
    <w:basedOn w:val="Normal"/>
    <w:qFormat/>
    <w:pPr>
      <w:spacing w:lineRule="exact" w:line="240" w:before="240" w:after="0"/>
      <w:ind w:hanging="0" w:start="1440" w:end="0"/>
      <w:jc w:val="both"/>
    </w:pPr>
    <w:rPr>
      <w:rFonts w:ascii="Tms Rmn" w:hAnsi="Tms Rmn" w:cs="Tms Rmn"/>
      <w:sz w:val="22"/>
    </w:rPr>
  </w:style>
  <w:style w:type="paragraph" w:styleId="BlockText">
    <w:name w:val="Block Text"/>
    <w:basedOn w:val="Normal"/>
    <w:qFormat/>
    <w:pPr>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lang w:val="en-AU"/>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lang w:val="en-AU"/>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1999-12-07T04:43:00Z</dcterms:created>
  <dc:creator>tjones</dc:creator>
  <dc:description/>
  <dc:language>en-CA</dc:language>
  <cp:lastModifiedBy>David Minns</cp:lastModifiedBy>
  <cp:lastPrinted>1999-12-22T14:56:00Z</cp:lastPrinted>
  <dcterms:modified xsi:type="dcterms:W3CDTF">1999-12-22T04:22:00Z</dcterms:modified>
  <cp:revision>13</cp:revision>
  <dc:subject/>
  <dc:title> [ERMS LETTERHEAD]</dc:title>
</cp:coreProperties>
</file>