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 Steel Exchange</w:t>
      </w:r>
    </w:p>
    <w:p>
      <w:pPr>
        <w:pStyle w:val="Normal"/>
        <w:jc w:val="both"/>
        <w:rPr/>
      </w:pPr>
      <w:r>
        <w:rPr>
          <w:rFonts w:cs="Times New Roman" w:ascii="Times New Roman" w:hAnsi="Times New Roman"/>
          <w:sz w:val="22"/>
        </w:rPr>
        <w:t>140 W.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New York, NY 10019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Global Steel Exchange and Enron Net Works LLC (hereinafter individually and collectively referred to as a party) and their affiliates are prepared to furnish each other with information in connection with a possible transaction or other business relationship (“Transaction”) involving the posting of prices for various steel product on electronic platforms owned and operated by each of the parties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GLOBAL STEEL EXCHANGE</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/mnt/main-storage/datasets/enron-docs/doc/gsx.doc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CMS Energy – Panhandle Pipeline Companies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9360" w:leader="none"/>
      </w:tabs>
      <w:ind w:hanging="0" w:start="504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2001-04-04T20:09:00Z</dcterms:created>
  <dc:creator>ECT</dc:creator>
  <dc:description/>
  <dc:language>en-CA</dc:language>
  <cp:lastModifiedBy>mgreenbe</cp:lastModifiedBy>
  <cp:lastPrinted>2001-03-30T10:54:00Z</cp:lastPrinted>
  <dcterms:modified xsi:type="dcterms:W3CDTF">2001-04-04T20:14:00Z</dcterms:modified>
  <cp:revision>3</cp:revision>
  <dc:subject/>
  <dc:title>Reciprocal Confidentiality Agreement</dc:title>
</cp:coreProperties>
</file>