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tab/>
        <w:tab/>
      </w:r>
    </w:p>
    <w:p>
      <w:pPr>
        <w:pStyle w:val="Heading"/>
        <w:jc w:val="end"/>
        <w:rPr/>
      </w:pPr>
      <w:r>
        <w:rPr/>
      </w:r>
    </w:p>
    <w:p>
      <w:pPr>
        <w:pStyle w:val="Heading"/>
        <w:jc w:val="end"/>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Janice Moore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EPMI Power Deals with Municipalities – Due Diligence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27, 2001</w:t>
            </w:r>
          </w:p>
        </w:tc>
      </w:tr>
    </w:tbl>
    <w:p>
      <w:pPr>
        <w:pStyle w:val="Body"/>
        <w:rPr/>
      </w:pPr>
      <w:bookmarkStart w:id="1" w:name="StartOfMemo"/>
      <w:bookmarkEnd w:id="1"/>
      <w:r>
        <w:rPr/>
        <w:t xml:space="preserve">As mentioned in a recent power trading group meeting, Genia Fitzgerald will maintain a file on due diligence memoranda that have been obtained from outside counsel with respect to various municipalities. A few changes to Schedule M will be added to the Cover Sheet, as applicable, as soon as we complete the drafting.    </w:t>
      </w:r>
    </w:p>
    <w:p>
      <w:pPr>
        <w:pStyle w:val="Body"/>
        <w:rPr/>
      </w:pPr>
      <w:r>
        <w:rPr/>
      </w:r>
    </w:p>
    <w:p>
      <w:pPr>
        <w:pStyle w:val="Body"/>
        <w:rPr/>
      </w:pPr>
      <w:r>
        <w:rPr/>
        <w:t>In the meantime, this memorandum summarizes the questions that should be asked when dealing with any municipality, and some additional queries that are relevant for California and foreign entities.  Before authorizing outside counsel to conduct this research, please have the firm give you a budget for the project, which will need Elizabeth Sager’s approval.</w:t>
      </w:r>
    </w:p>
    <w:p>
      <w:pPr>
        <w:pStyle w:val="Body"/>
        <w:rPr/>
      </w:pPr>
      <w:r>
        <w:rPr/>
      </w:r>
    </w:p>
    <w:p>
      <w:pPr>
        <w:pStyle w:val="Body"/>
        <w:numPr>
          <w:ilvl w:val="0"/>
          <w:numId w:val="2"/>
        </w:numPr>
        <w:rPr/>
      </w:pPr>
      <w:r>
        <w:rPr/>
        <w:t xml:space="preserve">Are there provisions in the city charter, city code, or other governing law permitting the municipality to buy and/or sell power?  Are there other relevant instruments that must be examined?  </w:t>
      </w:r>
    </w:p>
    <w:p>
      <w:pPr>
        <w:pStyle w:val="Body"/>
        <w:numPr>
          <w:ilvl w:val="0"/>
          <w:numId w:val="2"/>
        </w:numPr>
        <w:rPr/>
      </w:pPr>
      <w:r>
        <w:rPr/>
        <w:t>What are the consequences if the municipality goes beyond its authority in entering into a contract?  Are the consequences the same when the contract was within the municipality’s basic contracting authority but the municipality did not follow the correct procedures?  Are there adequate remedies for the municipality’s breach of  “proper authority” representations and warranties in the contract?</w:t>
      </w:r>
    </w:p>
    <w:p>
      <w:pPr>
        <w:pStyle w:val="Body"/>
        <w:numPr>
          <w:ilvl w:val="0"/>
          <w:numId w:val="2"/>
        </w:numPr>
        <w:rPr/>
      </w:pPr>
      <w:r>
        <w:rPr/>
        <w:t>What procedures must the municipality follow in buying or selling power?  May the municipality engage in sole source purchases or is a competitive bidding process always required for the purchase and sale of power?</w:t>
      </w:r>
    </w:p>
    <w:p>
      <w:pPr>
        <w:pStyle w:val="Body"/>
        <w:numPr>
          <w:ilvl w:val="0"/>
          <w:numId w:val="2"/>
        </w:numPr>
        <w:rPr/>
      </w:pPr>
      <w:r>
        <w:rPr/>
        <w:t>May the municipality enter into contracts providing for binding arbitration of disputes?</w:t>
      </w:r>
    </w:p>
    <w:p>
      <w:pPr>
        <w:pStyle w:val="Body"/>
        <w:numPr>
          <w:ilvl w:val="0"/>
          <w:numId w:val="2"/>
        </w:numPr>
        <w:rPr/>
      </w:pPr>
      <w:r>
        <w:rPr/>
        <w:t>May the municipality sue and be sued for breach of contract or may it claim sovereign immunity?  Does the answer change with respect to indemnity clauses?  Are there statutory limits on recovery against the municipality?</w:t>
      </w:r>
    </w:p>
    <w:p>
      <w:pPr>
        <w:pStyle w:val="Body"/>
        <w:numPr>
          <w:ilvl w:val="0"/>
          <w:numId w:val="2"/>
        </w:numPr>
        <w:rPr/>
      </w:pPr>
      <w:r>
        <w:rPr/>
        <w:t xml:space="preserve">May the municipality pledge assets to secure payment of its obligations? </w:t>
      </w:r>
    </w:p>
    <w:p>
      <w:pPr>
        <w:pStyle w:val="Body"/>
        <w:numPr>
          <w:ilvl w:val="0"/>
          <w:numId w:val="2"/>
        </w:numPr>
        <w:rPr/>
      </w:pPr>
      <w:r>
        <w:rPr/>
        <w:t xml:space="preserve">May a purchase/sale contract with the municipality or any of the contract’s provisions (price or other commercially sensitive terms) be kept confidential?  </w:t>
      </w:r>
    </w:p>
    <w:p>
      <w:pPr>
        <w:pStyle w:val="Body"/>
        <w:numPr>
          <w:ilvl w:val="0"/>
          <w:numId w:val="2"/>
        </w:numPr>
        <w:rPr/>
      </w:pPr>
      <w:r>
        <w:rPr/>
        <w:t xml:space="preserve">If the municipality is selling power to area residents, do those revenues become part of the general funds or are they designated to some specific fund or purpose (such as generation plant debt repayment)? </w:t>
      </w:r>
    </w:p>
    <w:p>
      <w:pPr>
        <w:pStyle w:val="Body"/>
        <w:numPr>
          <w:ilvl w:val="0"/>
          <w:numId w:val="2"/>
        </w:numPr>
        <w:rPr/>
      </w:pPr>
      <w:r>
        <w:rPr/>
        <w:t>Does the municipality have any special powers to collect amounts owed by its customers (such as a lien on property akin to tax collection powers)?</w:t>
      </w:r>
    </w:p>
    <w:p>
      <w:pPr>
        <w:pStyle w:val="Body"/>
        <w:numPr>
          <w:ilvl w:val="0"/>
          <w:numId w:val="2"/>
        </w:numPr>
        <w:rPr/>
      </w:pPr>
      <w:r>
        <w:rPr/>
        <w:t xml:space="preserve">Are there any special restrictions on the municipality’s power to engage in transactions, e.g., contracts may not have a term greater than one year; no puts, calls, or options; no sales to entities that are not end users; no sales to entities that are not within a certain geographic territory?  Do those restrictions still apply if the source of payment is tied to a specified fund (and not dependent on budget appropriations)? </w:t>
      </w:r>
    </w:p>
    <w:p>
      <w:pPr>
        <w:pStyle w:val="Body"/>
        <w:numPr>
          <w:ilvl w:val="0"/>
          <w:numId w:val="2"/>
        </w:numPr>
        <w:rPr/>
      </w:pPr>
      <w:r>
        <w:rPr/>
        <w:t>What person or body has the authority/responsibility to approve the purchase/sale contract?  Are binding oral trades permitted?  May that authority be delegated?  What evidence of such delegation is necessary or appropriate?</w:t>
      </w:r>
    </w:p>
    <w:p>
      <w:pPr>
        <w:pStyle w:val="Body"/>
        <w:numPr>
          <w:ilvl w:val="0"/>
          <w:numId w:val="2"/>
        </w:numPr>
        <w:rPr/>
      </w:pPr>
      <w:r>
        <w:rPr/>
        <w:t>Do the answers to any of these questions change based on the source of the power being purchased or sold (for example, if the municipal entity is selling power from generation sources in which it has invested versus generation sources for which it acts only as a marketer)?</w:t>
      </w:r>
    </w:p>
    <w:p>
      <w:pPr>
        <w:pStyle w:val="Body"/>
        <w:numPr>
          <w:ilvl w:val="0"/>
          <w:numId w:val="2"/>
        </w:numPr>
        <w:rPr/>
      </w:pPr>
      <w:r>
        <w:rPr/>
        <w:t>Is the municipality an aggregator? If so, do the answers to any of these questions change based on whether the municipality is buying or selling for its own account or on behalf of its members?</w:t>
      </w:r>
    </w:p>
    <w:p>
      <w:pPr>
        <w:pStyle w:val="Body"/>
        <w:numPr>
          <w:ilvl w:val="0"/>
          <w:numId w:val="2"/>
        </w:numPr>
        <w:rPr/>
      </w:pPr>
      <w:r>
        <w:rPr/>
        <w:t>Would your firm issue an opinion as to the municipality’s authority to enter into this purchase/sale contract?  At what additional cost?</w:t>
      </w:r>
    </w:p>
    <w:p>
      <w:pPr>
        <w:pStyle w:val="Body"/>
        <w:rPr/>
      </w:pPr>
      <w:r>
        <w:rPr/>
      </w:r>
    </w:p>
    <w:p>
      <w:pPr>
        <w:pStyle w:val="Body"/>
        <w:rPr/>
      </w:pPr>
      <w:r>
        <w:rPr/>
        <w:t>For California municipalities, add the following questions to the list.</w:t>
      </w:r>
    </w:p>
    <w:p>
      <w:pPr>
        <w:pStyle w:val="Body"/>
        <w:rPr/>
      </w:pPr>
      <w:r>
        <w:rPr/>
      </w:r>
    </w:p>
    <w:p>
      <w:pPr>
        <w:pStyle w:val="Normal"/>
        <w:spacing w:lineRule="atLeast" w:line="240"/>
        <w:rPr>
          <w:rFonts w:cs="Arial"/>
          <w:color w:val="000000"/>
          <w:sz w:val="20"/>
        </w:rPr>
      </w:pPr>
      <w:r>
        <w:rPr>
          <w:rFonts w:cs="Arial"/>
          <w:color w:val="000000"/>
          <w:sz w:val="20"/>
        </w:rPr>
        <w:t>1. Is the City a "municipally owned utility", as such term is defined under California law?</w:t>
      </w:r>
    </w:p>
    <w:p>
      <w:pPr>
        <w:pStyle w:val="Normal"/>
        <w:spacing w:lineRule="atLeast" w:line="240"/>
        <w:rPr>
          <w:rFonts w:cs="Arial"/>
          <w:color w:val="000000"/>
          <w:sz w:val="20"/>
        </w:rPr>
      </w:pPr>
      <w:r>
        <w:rPr>
          <w:rFonts w:cs="Arial"/>
          <w:color w:val="000000"/>
          <w:sz w:val="20"/>
        </w:rPr>
        <w:t>2. Is the City a "charter city" or a "general law city”, as defined under California law?  If a charter city, ask for a copy of the city charter.</w:t>
      </w:r>
    </w:p>
    <w:p>
      <w:pPr>
        <w:pStyle w:val="Normal"/>
        <w:spacing w:lineRule="atLeast" w:line="240"/>
        <w:rPr>
          <w:rFonts w:cs="Arial"/>
          <w:color w:val="000000"/>
          <w:sz w:val="20"/>
        </w:rPr>
      </w:pPr>
      <w:r>
        <w:rPr>
          <w:rFonts w:cs="Arial"/>
          <w:color w:val="000000"/>
          <w:sz w:val="20"/>
        </w:rPr>
      </w:r>
    </w:p>
    <w:p>
      <w:pPr>
        <w:pStyle w:val="Normal"/>
        <w:spacing w:lineRule="atLeast" w:line="240"/>
        <w:rPr>
          <w:rFonts w:cs="Arial"/>
          <w:color w:val="000000"/>
          <w:sz w:val="20"/>
        </w:rPr>
      </w:pPr>
      <w:r>
        <w:rPr>
          <w:rFonts w:cs="Arial"/>
          <w:color w:val="000000"/>
          <w:sz w:val="20"/>
        </w:rPr>
        <w:t>For quasi-governmental entities in other countries, e.g., New Brunswick Power in Canada, add the following questions to the list.</w:t>
      </w:r>
    </w:p>
    <w:p>
      <w:pPr>
        <w:pStyle w:val="Normal"/>
        <w:spacing w:lineRule="atLeast" w:line="240"/>
        <w:rPr>
          <w:rFonts w:cs="Arial"/>
          <w:color w:val="000000"/>
          <w:sz w:val="20"/>
        </w:rPr>
      </w:pPr>
      <w:r>
        <w:rPr>
          <w:rFonts w:cs="Arial"/>
          <w:color w:val="000000"/>
          <w:sz w:val="20"/>
        </w:rPr>
      </w:r>
    </w:p>
    <w:p>
      <w:pPr>
        <w:pStyle w:val="Normal"/>
        <w:spacing w:lineRule="atLeast" w:line="240"/>
        <w:rPr>
          <w:rFonts w:cs="Arial"/>
          <w:color w:val="000000"/>
          <w:sz w:val="20"/>
        </w:rPr>
      </w:pPr>
      <w:r>
        <w:rPr>
          <w:rFonts w:cs="Arial"/>
          <w:color w:val="000000"/>
          <w:sz w:val="20"/>
        </w:rPr>
        <w:t>1. Is a sovereign guarantee available or is the entity an “agent of the crown”?  Does that “security” cover all of the entity’s obligations under the contract or are there limits, such as not covering the entity’s indemnity obligations under the contract?</w:t>
      </w:r>
    </w:p>
    <w:p>
      <w:pPr>
        <w:pStyle w:val="Normal"/>
        <w:spacing w:lineRule="atLeast" w:line="240"/>
        <w:rPr>
          <w:rFonts w:cs="Arial"/>
          <w:color w:val="000000"/>
          <w:sz w:val="20"/>
        </w:rPr>
      </w:pPr>
      <w:r>
        <w:rPr>
          <w:rFonts w:cs="Arial"/>
          <w:color w:val="000000"/>
          <w:sz w:val="20"/>
        </w:rPr>
        <w:t>2. May the “security” be revoked retroactively for prior transactions or obligations by changing the law or withdrawing the guarantee?</w:t>
      </w:r>
    </w:p>
    <w:p>
      <w:pPr>
        <w:pStyle w:val="Body"/>
        <w:ind w:start="0" w:end="0"/>
        <w:rPr>
          <w:rFonts w:cs="Arial"/>
          <w:color w:val="000000"/>
          <w:sz w:val="20"/>
        </w:rPr>
      </w:pPr>
      <w:r>
        <w:rPr>
          <w:rFonts w:cs="Arial"/>
          <w:color w:val="000000"/>
          <w:sz w:val="20"/>
        </w:rPr>
      </w:r>
    </w:p>
    <w:p>
      <w:pPr>
        <w:pStyle w:val="Body"/>
        <w:rPr/>
      </w:pPr>
      <w:r>
        <w:rPr/>
        <w:t>As other issues come to light in the future, please make note of them to Genia so they can be added to this list.</w:t>
      </w:r>
    </w:p>
    <w:p>
      <w:pPr>
        <w:pStyle w:val="CopyList"/>
        <w:spacing w:before="0" w:after="0"/>
        <w:rPr/>
      </w:pPr>
      <w:r>
        <w:rPr/>
      </w:r>
    </w:p>
    <w:p>
      <w:pPr>
        <w:pStyle w:val="CopyList"/>
        <w:spacing w:before="0" w:after="0"/>
        <w:rPr/>
      </w:pPr>
      <w:r>
        <w:rPr/>
        <w:t>cc:</w:t>
        <w:tab/>
        <w:t>Genia Fitzgerald</w:t>
      </w:r>
    </w:p>
    <w:p>
      <w:pPr>
        <w:pStyle w:val="CopyList"/>
        <w:spacing w:before="0" w:after="0"/>
        <w:rPr/>
      </w:pPr>
      <w:r>
        <w:rPr/>
        <w:tab/>
        <w:t>Leslie Hansen</w:t>
      </w:r>
    </w:p>
    <w:p>
      <w:pPr>
        <w:pStyle w:val="CopyList"/>
        <w:spacing w:before="0" w:after="0"/>
        <w:rPr/>
      </w:pPr>
      <w:r>
        <w:rPr/>
        <w:tab/>
        <w:t>Janet Moore</w:t>
      </w:r>
    </w:p>
    <w:p>
      <w:pPr>
        <w:pStyle w:val="CopyList"/>
        <w:spacing w:before="0" w:after="0"/>
        <w:rPr/>
      </w:pPr>
      <w:r>
        <w:rPr/>
        <w:tab/>
        <w:t>Marcus Nettelton</w:t>
      </w:r>
    </w:p>
    <w:p>
      <w:pPr>
        <w:pStyle w:val="CopyList"/>
        <w:spacing w:before="0" w:after="0"/>
        <w:rPr/>
      </w:pPr>
      <w:r>
        <w:rPr/>
        <w:tab/>
        <w:t>David Portz</w:t>
      </w:r>
    </w:p>
    <w:p>
      <w:pPr>
        <w:pStyle w:val="CopyList"/>
        <w:spacing w:before="0" w:after="0"/>
        <w:rPr/>
      </w:pPr>
      <w:r>
        <w:rPr/>
        <w:tab/>
        <w:t>Elizabeth Sager</w:t>
      </w:r>
    </w:p>
    <w:p>
      <w:pPr>
        <w:pStyle w:val="CopyList"/>
        <w:spacing w:before="0" w:after="0"/>
        <w:rPr/>
      </w:pPr>
      <w:r>
        <w:rPr/>
        <w:tab/>
        <w:t>Christian Yoder</w:t>
      </w:r>
    </w:p>
    <w:p>
      <w:pPr>
        <w:pStyle w:val="CopyList"/>
        <w:spacing w:before="0" w:after="0"/>
        <w:rPr/>
      </w:pPr>
      <w:r>
        <w:rPr/>
        <w:tab/>
        <w:t>Stuart Zisman</w:t>
      </w:r>
    </w:p>
    <w:p>
      <w:pPr>
        <w:pStyle w:val="CopyList"/>
        <w:spacing w:before="0" w:after="0"/>
        <w:rPr/>
      </w:pPr>
      <w:r>
        <w:rPr/>
      </w:r>
    </w:p>
    <w:p>
      <w:pPr>
        <w:pStyle w:val="CopyList"/>
        <w:spacing w:before="0" w:after="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ab/>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tab/>
      <w:tab/>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2524125</wp:posOffset>
              </wp:positionH>
              <wp:positionV relativeFrom="paragraph">
                <wp:posOffset>-266065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0.95pt;mso-position-vertical-relative:text;margin-left:198.7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540" w:leader="none"/>
      </w:tabs>
      <w:outlineLvl w:val="0"/>
    </w:pPr>
    <w:rPr>
      <w:b/>
      <w:bCs/>
      <w:sz w:val="20"/>
      <w:u w:val="single"/>
    </w:rPr>
  </w:style>
  <w:style w:type="paragraph" w:styleId="Heading2">
    <w:name w:val="heading 2"/>
    <w:basedOn w:val="Normal"/>
    <w:next w:val="Normal"/>
    <w:qFormat/>
    <w:pPr>
      <w:keepNext w:val="true"/>
      <w:numPr>
        <w:ilvl w:val="1"/>
        <w:numId w:val="1"/>
      </w:numPr>
      <w:tabs>
        <w:tab w:val="left" w:pos="-1440" w:leader="none"/>
        <w:tab w:val="left" w:pos="540" w:leader="none"/>
      </w:tabs>
      <w:jc w:val="both"/>
      <w:outlineLvl w:val="1"/>
    </w:pPr>
    <w:rPr>
      <w:b/>
      <w:bCs/>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2001-03-23T13:42:00Z</dcterms:created>
  <dc:creator>j r moore</dc:creator>
  <dc:description/>
  <dc:language>en-CA</dc:language>
  <cp:lastModifiedBy>jmoore2</cp:lastModifiedBy>
  <cp:lastPrinted>2001-03-27T17:07:00Z</cp:lastPrinted>
  <dcterms:modified xsi:type="dcterms:W3CDTF">2001-03-27T21:03:00Z</dcterms:modified>
  <cp:revision>7</cp:revision>
  <dc:subject/>
  <dc:title> 						</dc:title>
</cp:coreProperties>
</file>