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0" w:leader="none"/>
          <w:tab w:val="left" w:pos="5280" w:leader="none"/>
          <w:tab w:val="left" w:pos="5472" w:leader="none"/>
          <w:tab w:val="left" w:pos="6480" w:leader="none"/>
        </w:tabs>
        <w:spacing w:lineRule="atLeast" w:line="240"/>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t>May 21, 2001</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bookmarkStart w:id="0" w:name="today"/>
      <w:r>
        <w:rPr>
          <w:rFonts w:cs="Times" w:ascii="Times" w:hAnsi="Times"/>
          <w:sz w:val="23"/>
        </w:rPr>
        <w:fldChar w:fldCharType="begin"/>
      </w:r>
      <w:r>
        <w:rPr>
          <w:sz w:val="23"/>
          <w:rFonts w:cs="Times" w:ascii="Times" w:hAnsi="Times"/>
        </w:rPr>
        <w:instrText xml:space="preserve"> SET today_x0013_TIME "MMMM d, yyyy" </w:instrText>
      </w:r>
      <w:r>
        <w:rPr>
          <w:sz w:val="23"/>
          <w:rFonts w:cs="Times" w:ascii="Times" w:hAnsi="Times"/>
        </w:rPr>
        <w:fldChar w:fldCharType="separate"/>
      </w:r>
      <w:bookmarkStart w:id="1" w:name="today%13TIME"/>
      <w:r>
        <w:rPr>
          <w:sz w:val="23"/>
          <w:rFonts w:cs="Times" w:ascii="Times" w:hAnsi="Times"/>
        </w:rPr>
      </w:r>
      <w:bookmarkEnd w:id="1"/>
      <w:r>
        <w:rPr>
          <w:sz w:val="23"/>
          <w:rFonts w:cs="Times" w:ascii="Times" w:hAnsi="Times"/>
        </w:rPr>
        <w:fldChar w:fldCharType="end"/>
      </w:r>
      <w:bookmarkEnd w:id="0"/>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Citizens Utilities Company</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c/o Citizens Communication Company</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 xml:space="preserve">     </w:t>
      </w:r>
      <w:r>
        <w:rPr>
          <w:sz w:val="23"/>
        </w:rPr>
        <w:t>Arizona Gas Division</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1300 South Yale Street</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Flagstaff, Arizona 86001</w:t>
      </w:r>
      <w:bookmarkStart w:id="2" w:name="WWSetBkmk2"/>
      <w:r>
        <w:rPr>
          <w:sz w:val="23"/>
        </w:rPr>
        <w:fldChar w:fldCharType="begin"/>
      </w:r>
      <w:r>
        <w:rPr>
          <w:sz w:val="23"/>
        </w:rPr>
        <w:instrText xml:space="preserve"> SET customer_x0013_fillin "_____________" </w:instrText>
      </w:r>
      <w:r>
        <w:rPr>
          <w:sz w:val="23"/>
        </w:rPr>
        <w:fldChar w:fldCharType="separate"/>
      </w:r>
      <w:bookmarkStart w:id="3" w:name="customer%13fillin"/>
      <w:r>
        <w:rPr>
          <w:sz w:val="23"/>
        </w:rPr>
      </w:r>
      <w:bookmarkEnd w:id="3"/>
      <w:r>
        <w:rPr>
          <w:sz w:val="23"/>
        </w:rPr>
        <w:fldChar w:fldCharType="end"/>
      </w:r>
      <w:bookmarkEnd w:id="2"/>
    </w:p>
    <w:p>
      <w:pPr>
        <w:pStyle w:val="Normal"/>
        <w:jc w:val="both"/>
        <w:rPr>
          <w:sz w:val="23"/>
        </w:rPr>
      </w:pPr>
      <w:r>
        <w:rPr>
          <w:sz w:val="23"/>
        </w:rPr>
        <w:t>Attn: Mr. Sean Breen</w:t>
      </w:r>
    </w:p>
    <w:p>
      <w:pPr>
        <w:pStyle w:val="Normal"/>
        <w:jc w:val="both"/>
        <w:rPr>
          <w:sz w:val="23"/>
        </w:rPr>
      </w:pPr>
      <w:r>
        <w:rPr>
          <w:sz w:val="23"/>
        </w:rPr>
        <w:t>Telephone (520) 226-2216</w:t>
      </w:r>
    </w:p>
    <w:p>
      <w:pPr>
        <w:pStyle w:val="Normal"/>
        <w:jc w:val="both"/>
        <w:rPr>
          <w:sz w:val="23"/>
        </w:rPr>
      </w:pPr>
      <w:r>
        <w:rPr>
          <w:sz w:val="23"/>
        </w:rPr>
        <w:t>Facsimile (520) 779-5338</w:t>
      </w:r>
    </w:p>
    <w:p>
      <w:pPr>
        <w:pStyle w:val="Normal"/>
        <w:jc w:val="both"/>
        <w:rPr>
          <w:sz w:val="23"/>
        </w:rPr>
      </w:pPr>
      <w:r>
        <w:rPr>
          <w:sz w:val="23"/>
        </w:rPr>
        <w:t>e-mail: sbreen@czn.com</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b/>
          <w:sz w:val="23"/>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ind w:end="360"/>
        <w:jc w:val="both"/>
        <w:rPr/>
      </w:pPr>
      <w:r>
        <w:rPr>
          <w:rFonts w:cs="Times" w:ascii="Times" w:hAnsi="Times"/>
          <w:sz w:val="23"/>
        </w:rPr>
        <w:tab/>
        <w:t>This Transaction Agreement (this "</w:t>
      </w:r>
      <w:r>
        <w:rPr>
          <w:rFonts w:cs="Times" w:ascii="Times" w:hAnsi="Times"/>
          <w:sz w:val="23"/>
          <w:u w:val="single"/>
        </w:rPr>
        <w:t>Agreement</w:t>
      </w:r>
      <w:r>
        <w:rPr>
          <w:rFonts w:cs="Times" w:ascii="Times" w:hAnsi="Times"/>
          <w:sz w:val="23"/>
        </w:rPr>
        <w:t xml:space="preserve">") shall form and effectuate the current proposal between </w:t>
      </w:r>
      <w:r>
        <w:rPr>
          <w:sz w:val="23"/>
        </w:rPr>
        <w:t xml:space="preserve">Citizens Utilities Company </w:t>
      </w:r>
      <w:bookmarkStart w:id="4" w:name="WWSetBkmk3"/>
      <w:r>
        <w:rPr>
          <w:sz w:val="23"/>
        </w:rPr>
        <w:fldChar w:fldCharType="begin"/>
      </w:r>
      <w:r>
        <w:rPr>
          <w:sz w:val="23"/>
        </w:rPr>
        <w:instrText xml:space="preserve"> SET customer_x0013_fillin "_____________" </w:instrText>
      </w:r>
      <w:r>
        <w:rPr>
          <w:sz w:val="23"/>
        </w:rPr>
        <w:fldChar w:fldCharType="separate"/>
      </w:r>
      <w:bookmarkStart w:id="5" w:name="customer%13fillin"/>
      <w:r>
        <w:rPr>
          <w:sz w:val="23"/>
        </w:rPr>
      </w:r>
      <w:bookmarkEnd w:id="5"/>
      <w:r>
        <w:rPr>
          <w:sz w:val="23"/>
        </w:rPr>
        <w:fldChar w:fldCharType="end"/>
      </w:r>
      <w:bookmarkEnd w:id="4"/>
      <w:r>
        <w:rPr>
          <w:rFonts w:cs="Times" w:ascii="Times" w:hAnsi="Times"/>
          <w:sz w:val="23"/>
        </w:rPr>
        <w:t>("</w:t>
      </w:r>
      <w:r>
        <w:rPr>
          <w:rFonts w:cs="Times" w:ascii="Times" w:hAnsi="Times"/>
          <w:sz w:val="23"/>
          <w:u w:val="single"/>
        </w:rPr>
        <w:t>Customer</w:t>
      </w:r>
      <w:r>
        <w:rPr>
          <w:rFonts w:cs="Times" w:ascii="Times" w:hAnsi="Times"/>
          <w:sz w:val="23"/>
        </w:rPr>
        <w:t>") and Enron North America Corp. ("</w:t>
      </w:r>
      <w:r>
        <w:rPr>
          <w:rFonts w:cs="Times" w:ascii="Times" w:hAnsi="Times"/>
          <w:sz w:val="23"/>
          <w:u w:val="single"/>
        </w:rPr>
        <w:t>Company</w:t>
      </w:r>
      <w:r>
        <w:rPr>
          <w:rFonts w:cs="Times" w:ascii="Times" w:hAnsi="Times"/>
          <w:sz w:val="23"/>
        </w:rPr>
        <w:t xml:space="preserve">") regarding the firm purchase and sale of Gas under the following terms and conditions.  Customer to purchase and receive (Buyer) and </w:t>
      </w:r>
      <w:bookmarkStart w:id="6" w:name="WWSetBkmk3_Copy_1"/>
      <w:r>
        <w:rPr>
          <w:sz w:val="23"/>
        </w:rPr>
        <w:fldChar w:fldCharType="begin"/>
      </w:r>
      <w:r>
        <w:rPr>
          <w:sz w:val="23"/>
        </w:rPr>
        <w:instrText xml:space="preserve"> SET customer_x0013_fillin "_____________" </w:instrText>
      </w:r>
      <w:r>
        <w:rPr>
          <w:sz w:val="23"/>
        </w:rPr>
        <w:fldChar w:fldCharType="separate"/>
      </w:r>
      <w:bookmarkStart w:id="7" w:name="customer%13fillin"/>
      <w:r>
        <w:rPr>
          <w:sz w:val="23"/>
        </w:rPr>
      </w:r>
      <w:bookmarkEnd w:id="7"/>
      <w:r>
        <w:rPr>
          <w:sz w:val="23"/>
        </w:rPr>
        <w:fldChar w:fldCharType="end"/>
      </w:r>
      <w:bookmarkEnd w:id="6"/>
      <w:r>
        <w:rPr>
          <w:sz w:val="23"/>
        </w:rPr>
        <w:t>Company</w:t>
      </w:r>
      <w:r>
        <w:rPr>
          <w:rFonts w:cs="Times" w:ascii="Times" w:hAnsi="Times"/>
          <w:sz w:val="23"/>
        </w:rPr>
        <w:t xml:space="preserve"> to sell and deliver (Seller).</w:t>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t>PERIOD OF DELIVERY:</w:t>
        <w:tab/>
        <w:t>July 1, 2001 through September 30, 2003</w:t>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b/>
          <w:sz w:val="23"/>
        </w:rPr>
      </w:pPr>
      <w:r>
        <w:rPr>
          <w:rFonts w:cs="Times" w:ascii="Times" w:hAnsi="Times"/>
          <w:b/>
          <w:sz w:val="23"/>
        </w:rPr>
      </w:r>
    </w:p>
    <w:p>
      <w:pPr>
        <w:pStyle w:val="Normal"/>
        <w:spacing w:lineRule="atLeast" w:line="240"/>
        <w:ind w:hanging="3960" w:start="3960" w:end="360"/>
        <w:jc w:val="both"/>
        <w:rPr>
          <w:rFonts w:ascii="Times" w:hAnsi="Times" w:cs="Times"/>
          <w:sz w:val="23"/>
        </w:rPr>
      </w:pPr>
      <w:r>
        <w:rPr>
          <w:rFonts w:cs="Times" w:ascii="Times" w:hAnsi="Times"/>
          <w:sz w:val="23"/>
        </w:rPr>
        <w:t>DELIVERY POINT(S):</w:t>
        <w:tab/>
        <w:t>Griffith Interconnection delivery point on Transwestern Pipeline as documented in Buyer’s transportation agreement.</w:t>
      </w:r>
    </w:p>
    <w:p>
      <w:pPr>
        <w:pStyle w:val="Normal"/>
        <w:spacing w:lineRule="atLeast" w:line="240"/>
        <w:ind w:hanging="3960" w:start="3960" w:end="360"/>
        <w:jc w:val="both"/>
        <w:rPr>
          <w:rFonts w:ascii="Times" w:hAnsi="Times" w:cs="Times"/>
          <w:sz w:val="23"/>
        </w:rPr>
      </w:pPr>
      <w:r>
        <w:rPr>
          <w:rFonts w:cs="Times" w:ascii="Times" w:hAnsi="Times"/>
          <w:sz w:val="23"/>
        </w:rPr>
      </w:r>
    </w:p>
    <w:p>
      <w:pPr>
        <w:pStyle w:val="BlockText"/>
        <w:rPr/>
      </w:pPr>
      <w:r>
        <w:rPr/>
        <w:t>BUYER’S TRANSPORTER:</w:t>
        <w:tab/>
        <w:t>Transwestern Pipeline Company (“Transwestern”)</w:t>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sz w:val="23"/>
        </w:rPr>
      </w:pPr>
      <w:r>
        <w:rPr>
          <w:rFonts w:cs="Times" w:ascii="Times" w:hAnsi="Times"/>
          <w:sz w:val="23"/>
        </w:rPr>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sz w:val="23"/>
        </w:rPr>
      </w:pPr>
      <w:r>
        <w:rPr>
          <w:rFonts w:cs="Times" w:ascii="Times" w:hAnsi="Times"/>
          <w:sz w:val="23"/>
        </w:rPr>
        <w:t>QUANTITY:</w:t>
      </w:r>
    </w:p>
    <w:p>
      <w:pPr>
        <w:pStyle w:val="Normal"/>
        <w:tabs>
          <w:tab w:val="clear" w:pos="720"/>
          <w:tab w:val="left" w:pos="690" w:leader="none"/>
          <w:tab w:val="left" w:pos="1440" w:leader="none"/>
          <w:tab w:val="left" w:pos="2160" w:leader="none"/>
        </w:tabs>
        <w:spacing w:lineRule="atLeast" w:line="240"/>
        <w:ind w:hanging="3960" w:start="3960" w:end="360"/>
        <w:jc w:val="both"/>
        <w:rPr/>
      </w:pPr>
      <w:r>
        <w:rPr>
          <w:rFonts w:cs="Times" w:ascii="Times" w:hAnsi="Times"/>
          <w:sz w:val="23"/>
        </w:rPr>
        <w:tab/>
        <w:t xml:space="preserve">(DCQ): </w:t>
        <w:tab/>
        <w:tab/>
        <w:t xml:space="preserve">Buyer’s DCQ for each Day shall be the quantity between zero and the Daily Demand Quantity (DDQ) nominated by Buyer for the delivery Day.  </w:t>
      </w:r>
      <w:r>
        <w:rPr>
          <w:sz w:val="23"/>
        </w:rPr>
        <w:t>Buyer’s DDQ shall be 20,000 MMBtu per day for the period July 1, 2001 through October 31, 2001 and 15,000 MMBtu per day for the period November 1, 2001 through September 30, 2003.</w:t>
      </w:r>
    </w:p>
    <w:p>
      <w:pPr>
        <w:pStyle w:val="BodyTextIndent"/>
        <w:numPr>
          <w:ilvl w:val="0"/>
          <w:numId w:val="5"/>
        </w:numPr>
        <w:tabs>
          <w:tab w:val="clear" w:pos="720"/>
          <w:tab w:val="left" w:pos="4320" w:leader="none"/>
        </w:tabs>
        <w:ind w:hanging="360" w:start="4320" w:end="346"/>
        <w:jc w:val="both"/>
        <w:rPr>
          <w:sz w:val="23"/>
        </w:rPr>
      </w:pPr>
      <w:r>
        <w:rPr>
          <w:sz w:val="23"/>
        </w:rPr>
        <w:t>Nominations for Tuesday–Friday for weeks without a holiday must be made by 8:30 a.m. Central Prevailing Time the Day prior to the delivery day.</w:t>
      </w:r>
    </w:p>
    <w:p>
      <w:pPr>
        <w:pStyle w:val="Normal"/>
        <w:numPr>
          <w:ilvl w:val="0"/>
          <w:numId w:val="5"/>
        </w:numPr>
        <w:tabs>
          <w:tab w:val="clear" w:pos="720"/>
          <w:tab w:val="left" w:pos="4320" w:leader="none"/>
        </w:tabs>
        <w:ind w:hanging="360" w:start="4320" w:end="346"/>
        <w:jc w:val="both"/>
        <w:rPr>
          <w:sz w:val="23"/>
        </w:rPr>
      </w:pPr>
      <w:r>
        <w:rPr>
          <w:sz w:val="23"/>
        </w:rPr>
        <w:t>Nominations for Saturday–Monday for non-holiday weekends must be received by 8:30 a.m. Central Prevailing Time Friday morning and quantity must be the same for all three days.</w:t>
      </w:r>
    </w:p>
    <w:p>
      <w:pPr>
        <w:pStyle w:val="Normal"/>
        <w:numPr>
          <w:ilvl w:val="0"/>
          <w:numId w:val="5"/>
        </w:numPr>
        <w:tabs>
          <w:tab w:val="clear" w:pos="720"/>
          <w:tab w:val="left" w:pos="4320" w:leader="none"/>
        </w:tabs>
        <w:ind w:hanging="360" w:start="4320" w:end="346"/>
        <w:jc w:val="both"/>
        <w:rPr>
          <w:sz w:val="23"/>
        </w:rPr>
      </w:pPr>
      <w:r>
        <w:rPr>
          <w:sz w:val="23"/>
        </w:rPr>
        <w:t>Nominations for Saturday–Tuesday for holiday weekends where the holiday falls on a Monday must be received by 8:30 a.m. Central Prevailing Time Friday and quantity must be the same for all four days.</w:t>
      </w:r>
    </w:p>
    <w:p>
      <w:pPr>
        <w:pStyle w:val="Normal"/>
        <w:tabs>
          <w:tab w:val="clear" w:pos="720"/>
          <w:tab w:val="left" w:pos="690" w:leader="none"/>
          <w:tab w:val="left" w:pos="1440" w:leader="none"/>
          <w:tab w:val="left" w:pos="2160" w:leader="none"/>
          <w:tab w:val="left" w:pos="4320" w:leader="none"/>
        </w:tabs>
        <w:spacing w:lineRule="atLeast" w:line="240"/>
        <w:ind w:hanging="360" w:start="4320" w:end="346"/>
        <w:jc w:val="both"/>
        <w:rPr>
          <w:sz w:val="23"/>
        </w:rPr>
      </w:pPr>
      <w:r>
        <w:rPr>
          <w:sz w:val="23"/>
        </w:rPr>
        <w:t>d.</w:t>
        <w:tab/>
        <w:t>Nominations for the two days during the week when a business day is followed by a holiday must be received by 8:30 a.m. Central Prevailing Time on the business day prior to the holiday and quantity must be the same for both days.</w:t>
      </w:r>
    </w:p>
    <w:p>
      <w:pPr>
        <w:pStyle w:val="Normal"/>
        <w:tabs>
          <w:tab w:val="clear" w:pos="720"/>
          <w:tab w:val="left" w:pos="690" w:leader="none"/>
          <w:tab w:val="left" w:pos="1440" w:leader="none"/>
          <w:tab w:val="left" w:pos="2160" w:leader="none"/>
          <w:tab w:val="left" w:pos="4320" w:leader="none"/>
        </w:tabs>
        <w:spacing w:lineRule="atLeast" w:line="240"/>
        <w:ind w:hanging="360" w:start="4320" w:end="346"/>
        <w:jc w:val="both"/>
        <w:rPr/>
      </w:pPr>
      <w:r>
        <w:rPr>
          <w:rFonts w:cs="Times" w:ascii="Times" w:hAnsi="Times"/>
          <w:sz w:val="23"/>
        </w:rPr>
        <w:t>e.</w:t>
        <w:tab/>
      </w:r>
      <w:r>
        <w:rPr>
          <w:sz w:val="23"/>
        </w:rPr>
        <w:t>Seller shall not be obligated to supply gas to buyer if nominations are received after 8:30 a.m. Central Prevailing Time.  Transactions will take place on a mutually acceptable basis and will be priced at market prices at that time.</w:t>
      </w:r>
    </w:p>
    <w:p>
      <w:pPr>
        <w:pStyle w:val="Normal"/>
        <w:tabs>
          <w:tab w:val="clear" w:pos="720"/>
          <w:tab w:val="left" w:pos="690" w:leader="none"/>
          <w:tab w:val="left" w:pos="1440" w:leader="none"/>
          <w:tab w:val="left" w:pos="2160" w:leader="none"/>
          <w:tab w:val="left" w:pos="4320" w:leader="none"/>
        </w:tabs>
        <w:spacing w:lineRule="atLeast" w:line="240"/>
        <w:ind w:hanging="360" w:start="4320" w:end="346"/>
        <w:jc w:val="both"/>
        <w:rPr>
          <w:rFonts w:ascii="Times" w:hAnsi="Times" w:cs="Times"/>
          <w:sz w:val="23"/>
        </w:rPr>
      </w:pPr>
      <w:r>
        <w:rPr>
          <w:rFonts w:cs="Times" w:ascii="Times" w:hAnsi="Times"/>
          <w:sz w:val="23"/>
        </w:rPr>
      </w:r>
    </w:p>
    <w:p>
      <w:pPr>
        <w:pStyle w:val="Normal"/>
        <w:tabs>
          <w:tab w:val="left" w:pos="720" w:leader="none"/>
          <w:tab w:val="left" w:pos="2160" w:leader="none"/>
          <w:tab w:val="left" w:pos="5220" w:leader="none"/>
        </w:tabs>
        <w:spacing w:lineRule="atLeast" w:line="240"/>
        <w:ind w:hanging="3960" w:start="3960" w:end="360"/>
        <w:jc w:val="both"/>
        <w:rPr/>
      </w:pPr>
      <w:r>
        <w:rPr>
          <w:rFonts w:cs="Times" w:ascii="Times" w:hAnsi="Times"/>
          <w:sz w:val="23"/>
        </w:rPr>
        <w:tab/>
        <w:t>(MaxDQ:)</w:t>
        <w:tab/>
        <w:tab/>
      </w:r>
      <w:r>
        <w:rPr>
          <w:sz w:val="23"/>
        </w:rPr>
        <w:t xml:space="preserve">Seller will make additional quantities above the DDQ up to 25,000 MMBtu available to Buyer on a mutually acceptable basis.  Such additional quantities shall be referred to as Excess Utility Volumes.  </w:t>
      </w:r>
    </w:p>
    <w:p>
      <w:pPr>
        <w:pStyle w:val="Normal"/>
        <w:tabs>
          <w:tab w:val="left" w:pos="720" w:leader="none"/>
          <w:tab w:val="left" w:pos="2160" w:leader="none"/>
          <w:tab w:val="left" w:pos="5220" w:leader="none"/>
        </w:tabs>
        <w:spacing w:lineRule="atLeast" w:line="240"/>
        <w:ind w:hanging="3960" w:start="3960" w:end="360"/>
        <w:jc w:val="both"/>
        <w:rPr>
          <w:sz w:val="23"/>
        </w:rPr>
      </w:pPr>
      <w:r>
        <w:rPr>
          <w:sz w:val="23"/>
        </w:rPr>
      </w:r>
    </w:p>
    <w:p>
      <w:pPr>
        <w:pStyle w:val="Normal"/>
        <w:ind w:hanging="3960" w:start="3960" w:end="346"/>
        <w:jc w:val="both"/>
        <w:rPr/>
      </w:pPr>
      <w:r>
        <w:rPr>
          <w:sz w:val="23"/>
        </w:rPr>
        <w:t>CONTRACT PRICE (per MMBtu):</w:t>
        <w:tab/>
        <w:t xml:space="preserve">The Contract Price to be paid by Buyer to Seller </w:t>
      </w:r>
      <w:r>
        <w:rPr>
          <w:rFonts w:cs="Times" w:ascii="Times" w:hAnsi="Times"/>
          <w:sz w:val="23"/>
        </w:rPr>
        <w:t>for each Month during the Period of Delivery shall be determined based on the following:</w:t>
      </w:r>
    </w:p>
    <w:p>
      <w:pPr>
        <w:pStyle w:val="Normal"/>
        <w:ind w:start="3960" w:end="346"/>
        <w:jc w:val="both"/>
        <w:rPr>
          <w:sz w:val="23"/>
        </w:rPr>
      </w:pPr>
      <w:r>
        <w:rPr>
          <w:sz w:val="23"/>
        </w:rPr>
        <w:t>(1)  Buyer shall pay a Demand Charge each month equal to the number of days in the month times the DDQ applicable for such month times $0.09.</w:t>
      </w:r>
    </w:p>
    <w:p>
      <w:pPr>
        <w:pStyle w:val="Normal"/>
        <w:ind w:start="3960" w:end="346"/>
        <w:jc w:val="both"/>
        <w:rPr>
          <w:sz w:val="23"/>
        </w:rPr>
      </w:pPr>
      <w:r>
        <w:rPr>
          <w:sz w:val="23"/>
        </w:rPr>
        <w:t xml:space="preserve">(2)  The Contract Price per MMBtu for the DCQ shall be the </w:t>
      </w:r>
      <w:r>
        <w:rPr>
          <w:sz w:val="23"/>
          <w:u w:val="single"/>
        </w:rPr>
        <w:t>Gas Daily</w:t>
      </w:r>
      <w:r>
        <w:rPr>
          <w:sz w:val="23"/>
        </w:rPr>
        <w:t xml:space="preserve"> Mid-Point of the Common Range for El Paso Pipeline, San Juan Basin, Non-Bondad deliveries for the Day of delivery.</w:t>
      </w:r>
      <w:r>
        <w:rPr/>
        <w:t xml:space="preserve">  </w:t>
      </w:r>
    </w:p>
    <w:p>
      <w:pPr>
        <w:pStyle w:val="Normal"/>
        <w:ind w:start="3960" w:end="346"/>
        <w:jc w:val="both"/>
        <w:rPr>
          <w:sz w:val="23"/>
        </w:rPr>
      </w:pPr>
      <w:r>
        <w:rPr>
          <w:sz w:val="23"/>
        </w:rPr>
        <w:t>(3) Additionally Buyer shall reimburse Seller for the following San Juan Lateral costs:</w:t>
      </w:r>
    </w:p>
    <w:p>
      <w:pPr>
        <w:pStyle w:val="Normal"/>
        <w:numPr>
          <w:ilvl w:val="0"/>
          <w:numId w:val="3"/>
        </w:numPr>
        <w:tabs>
          <w:tab w:val="clear" w:pos="720"/>
          <w:tab w:val="left" w:pos="990" w:leader="none"/>
        </w:tabs>
        <w:ind w:hanging="360" w:start="4680" w:end="0"/>
        <w:jc w:val="both"/>
        <w:rPr>
          <w:sz w:val="23"/>
        </w:rPr>
      </w:pPr>
      <w:r>
        <w:rPr>
          <w:sz w:val="23"/>
        </w:rPr>
        <w:t>Demand Charge – 100% of the “as-billed” rate, currently $.1031/MMBtu</w:t>
      </w:r>
    </w:p>
    <w:p>
      <w:pPr>
        <w:pStyle w:val="Normal"/>
        <w:numPr>
          <w:ilvl w:val="0"/>
          <w:numId w:val="3"/>
        </w:numPr>
        <w:tabs>
          <w:tab w:val="clear" w:pos="720"/>
          <w:tab w:val="left" w:pos="990" w:leader="none"/>
        </w:tabs>
        <w:ind w:hanging="360" w:start="4680" w:end="0"/>
        <w:jc w:val="both"/>
        <w:rPr>
          <w:sz w:val="23"/>
        </w:rPr>
      </w:pPr>
      <w:r>
        <w:rPr>
          <w:sz w:val="23"/>
        </w:rPr>
        <w:t>Commodity Charge – 100% of the “as-billed” commodity charge, currently $.0011/MMBtu</w:t>
      </w:r>
    </w:p>
    <w:p>
      <w:pPr>
        <w:pStyle w:val="Normal"/>
        <w:tabs>
          <w:tab w:val="clear" w:pos="720"/>
          <w:tab w:val="left" w:pos="990" w:leader="none"/>
        </w:tabs>
        <w:ind w:hanging="360" w:start="4680" w:end="346"/>
        <w:jc w:val="both"/>
        <w:rPr>
          <w:sz w:val="23"/>
        </w:rPr>
      </w:pPr>
      <w:r>
        <w:rPr>
          <w:sz w:val="23"/>
        </w:rPr>
        <w:t>C.</w:t>
        <w:tab/>
        <w:t>Fuel Charge – 100% of the “as-billed” fuel charge, currently .25 %</w:t>
      </w:r>
    </w:p>
    <w:p>
      <w:pPr>
        <w:pStyle w:val="Normal"/>
        <w:ind w:start="3960" w:end="346"/>
        <w:jc w:val="both"/>
        <w:rPr>
          <w:sz w:val="23"/>
        </w:rPr>
      </w:pPr>
      <w:r>
        <w:rPr>
          <w:sz w:val="23"/>
        </w:rPr>
        <w:t>(4)  Additionally Buyer shall reimburse Seller for the following Mainline Charges:</w:t>
      </w:r>
    </w:p>
    <w:p>
      <w:pPr>
        <w:pStyle w:val="Normal"/>
        <w:numPr>
          <w:ilvl w:val="0"/>
          <w:numId w:val="4"/>
        </w:numPr>
        <w:tabs>
          <w:tab w:val="clear" w:pos="720"/>
        </w:tabs>
        <w:ind w:hanging="360" w:start="4680" w:end="0"/>
        <w:jc w:val="both"/>
        <w:rPr>
          <w:sz w:val="23"/>
        </w:rPr>
      </w:pPr>
      <w:r>
        <w:rPr>
          <w:sz w:val="23"/>
        </w:rPr>
        <w:t>Commodity Charge – 100% of the “as-billed” commodity charge, currently $.023/MMBtu</w:t>
      </w:r>
    </w:p>
    <w:p>
      <w:pPr>
        <w:pStyle w:val="Normal"/>
        <w:numPr>
          <w:ilvl w:val="0"/>
          <w:numId w:val="4"/>
        </w:numPr>
        <w:tabs>
          <w:tab w:val="clear" w:pos="720"/>
        </w:tabs>
        <w:ind w:hanging="360" w:start="4680" w:end="0"/>
        <w:jc w:val="both"/>
        <w:rPr>
          <w:sz w:val="23"/>
        </w:rPr>
      </w:pPr>
      <w:r>
        <w:rPr>
          <w:sz w:val="23"/>
        </w:rPr>
        <w:t>Fuel Charge – 100% of the “as-billed” fuel charge, currently 4.5 %</w:t>
      </w:r>
    </w:p>
    <w:p>
      <w:pPr>
        <w:pStyle w:val="Normal"/>
        <w:ind w:start="3960" w:end="346"/>
        <w:jc w:val="both"/>
        <w:rPr/>
      </w:pPr>
      <w:r>
        <w:rPr>
          <w:sz w:val="23"/>
        </w:rPr>
        <w:t>(5)  In addition to the price provided in (2) above, Buyer shall pay Seller an amount per MMBtu equal to eight and one half percent (8.5%) of the Spread Value.  The term “Spread Value” shall be equal to the</w:t>
      </w:r>
      <w:r>
        <w:rPr>
          <w:b/>
          <w:bCs/>
          <w:sz w:val="23"/>
        </w:rPr>
        <w:t xml:space="preserve"> </w:t>
      </w:r>
      <w:r>
        <w:rPr>
          <w:sz w:val="23"/>
          <w:u w:val="single"/>
        </w:rPr>
        <w:t>Gas Daily</w:t>
      </w:r>
      <w:r>
        <w:rPr>
          <w:sz w:val="23"/>
        </w:rPr>
        <w:t xml:space="preserve"> Mid-Point of the Common Range for PG&amp;E, large pkgs., in the table titled “Others,” for each day of delivery less $0.10 per MMBtu, less all fixed and variable pipeline charges identified above, less $0.07 per MMBtu, less </w:t>
      </w:r>
      <w:r>
        <w:rPr>
          <w:sz w:val="23"/>
          <w:u w:val="single"/>
        </w:rPr>
        <w:t>Gas Daily</w:t>
      </w:r>
      <w:r>
        <w:rPr>
          <w:sz w:val="23"/>
        </w:rPr>
        <w:t xml:space="preserve"> Mid-Point of the Common Range for El Paso Pipeline, San Juan Basin, Non-Bondad deliveries for the Day of delivery, times the quantity of Gas delivered each day.  If the indexes described are unavailable for any reason, the midpoint indexes published in the next issue shall be used.</w:t>
      </w:r>
    </w:p>
    <w:p>
      <w:pPr>
        <w:pStyle w:val="Normal"/>
        <w:tabs>
          <w:tab w:val="left" w:pos="720" w:leader="none"/>
          <w:tab w:val="left" w:pos="2160" w:leader="none"/>
          <w:tab w:val="left" w:pos="5220" w:leader="none"/>
        </w:tabs>
        <w:spacing w:lineRule="atLeast" w:line="240"/>
        <w:ind w:hanging="3960" w:start="3960" w:end="360"/>
        <w:jc w:val="both"/>
        <w:rPr>
          <w:sz w:val="23"/>
        </w:rPr>
      </w:pPr>
      <w:r>
        <w:rPr>
          <w:sz w:val="23"/>
        </w:rPr>
        <w:tab/>
        <w:tab/>
        <w:tab/>
      </w:r>
    </w:p>
    <w:p>
      <w:pPr>
        <w:pStyle w:val="Normal"/>
        <w:tabs>
          <w:tab w:val="clear" w:pos="720"/>
          <w:tab w:val="left" w:pos="2160" w:leader="none"/>
          <w:tab w:val="left" w:pos="5220" w:leader="none"/>
        </w:tabs>
        <w:spacing w:lineRule="atLeast" w:line="240"/>
        <w:ind w:hanging="3960" w:start="3960" w:end="360"/>
        <w:jc w:val="both"/>
        <w:rPr/>
      </w:pPr>
      <w:r>
        <w:rPr>
          <w:rFonts w:cs="Times" w:ascii="Times" w:hAnsi="Times"/>
          <w:sz w:val="23"/>
        </w:rPr>
        <w:t>OTHER:</w:t>
        <w:tab/>
        <w:tab/>
      </w:r>
      <w:r>
        <w:rPr>
          <w:rFonts w:cs="Times" w:ascii="Times" w:hAnsi="Times"/>
          <w:b/>
          <w:sz w:val="23"/>
        </w:rPr>
        <w:t xml:space="preserve">Scheduling:  </w:t>
      </w:r>
      <w:r>
        <w:rPr>
          <w:rFonts w:cs="Times" w:ascii="Times" w:hAnsi="Times"/>
          <w:sz w:val="23"/>
        </w:rPr>
        <w:t>Buyer and Seller have entered into that certain Agency Agreement dated November 4, 1998 necessary for Seller to act as Buyer’s agent with respect to Buyer’s Transportation Contracts Nos. 26519 and 26520 with Buyer’s Transporter.  Pursuant to such agreement, Seller shall be responsible for all scheduling activity related to transportation on such Buyer’s Transportation Contracts.  Seller’s scheduling activity shall include making nominations and receiving confirmations each day, receiving all reports related to scheduling activity and managing all pipeline imbalances.</w:t>
      </w:r>
    </w:p>
    <w:p>
      <w:pPr>
        <w:pStyle w:val="Normal"/>
        <w:spacing w:lineRule="atLeast" w:line="240"/>
        <w:ind w:start="3960" w:end="360"/>
        <w:jc w:val="both"/>
        <w:rPr>
          <w:rFonts w:ascii="Times" w:hAnsi="Times" w:cs="Times"/>
          <w:sz w:val="23"/>
        </w:rPr>
      </w:pPr>
      <w:r>
        <w:rPr>
          <w:rFonts w:cs="Times" w:ascii="Times" w:hAnsi="Times"/>
          <w:sz w:val="23"/>
        </w:rPr>
      </w:r>
    </w:p>
    <w:p>
      <w:pPr>
        <w:pStyle w:val="Normal"/>
        <w:tabs>
          <w:tab w:val="clear" w:pos="720"/>
          <w:tab w:val="left" w:pos="3960" w:leader="none"/>
          <w:tab w:val="left" w:pos="5280" w:leader="none"/>
          <w:tab w:val="left" w:pos="9180" w:leader="none"/>
        </w:tabs>
        <w:spacing w:lineRule="atLeast" w:line="240"/>
        <w:ind w:end="360"/>
        <w:jc w:val="both"/>
        <w:rPr/>
      </w:pPr>
      <w:r>
        <w:rPr>
          <w:rFonts w:cs="Times" w:ascii="Times" w:hAnsi="Times"/>
          <w:sz w:val="23"/>
        </w:rPr>
        <w:t xml:space="preserve">This Transaction Agreement is being provided pursuant to and in accordance with the ENFOLIO Master Firm Purchase/Sale Agreement dated November 1, 1994, between Customer and Company (formerly known as Enron Capital &amp; Trade Resources Corp.), and constitutes part of and is subject to all of the terms and provisions of such Agreement.  Please execute this Transaction Agreement and return an  executed copy to Company.  Your execution should reflect the appropriate party in your organization who has the authority to enter into this Transaction.  Upon receipt by Company of this executed Transaction Agreement it shall constitute a Transaction formed and effectuated under </w:t>
      </w:r>
      <w:r>
        <w:rPr>
          <w:rFonts w:cs="Times" w:ascii="Times" w:hAnsi="Times"/>
          <w:sz w:val="23"/>
          <w:u w:val="single"/>
        </w:rPr>
        <w:t>Section 2.2(i)</w:t>
      </w:r>
      <w:r>
        <w:rPr>
          <w:rFonts w:cs="Times" w:ascii="Times" w:hAnsi="Times"/>
          <w:sz w:val="23"/>
        </w:rPr>
        <w:t xml:space="preserve"> of the above referenced Master Agreement.  In the event Customer alters the terms of this Transaction Agreement in any manner or fails to execute and return to Company this Transaction Agreement within 24 hours of its receipt thereof, there will be no Transaction under the above referenced Master Agreement pursuant to this Transaction Agreement.  </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r>
    </w:p>
    <w:tbl>
      <w:tblPr>
        <w:tblW w:w="8838" w:type="dxa"/>
        <w:jc w:val="start"/>
        <w:tblInd w:w="0" w:type="dxa"/>
        <w:tblLayout w:type="fixed"/>
        <w:tblCellMar>
          <w:top w:w="0" w:type="dxa"/>
          <w:start w:w="108" w:type="dxa"/>
          <w:bottom w:w="0" w:type="dxa"/>
          <w:end w:w="108" w:type="dxa"/>
        </w:tblCellMar>
      </w:tblPr>
      <w:tblGrid>
        <w:gridCol w:w="4338"/>
        <w:gridCol w:w="4500"/>
      </w:tblGrid>
      <w:tr>
        <w:trPr/>
        <w:tc>
          <w:tcPr>
            <w:tcW w:w="4338" w:type="dxa"/>
            <w:tcBorders/>
          </w:tcPr>
          <w:p>
            <w:pPr>
              <w:pStyle w:val="Normal"/>
              <w:tabs>
                <w:tab w:val="clear" w:pos="720"/>
                <w:tab w:val="left" w:pos="3510" w:leader="none"/>
                <w:tab w:val="left" w:pos="9000" w:leader="none"/>
              </w:tabs>
              <w:spacing w:lineRule="atLeast" w:line="240"/>
              <w:rPr>
                <w:rFonts w:ascii="Times" w:hAnsi="Times" w:cs="Times"/>
                <w:sz w:val="23"/>
              </w:rPr>
            </w:pPr>
            <w:r>
              <w:rPr>
                <w:rFonts w:cs="Times" w:ascii="Times" w:hAnsi="Times"/>
                <w:sz w:val="23"/>
              </w:rPr>
              <w:t>CITIZENS UTILITIES COMPANY</w:t>
            </w:r>
          </w:p>
        </w:tc>
        <w:tc>
          <w:tcPr>
            <w:tcW w:w="4500" w:type="dxa"/>
            <w:tcBorders/>
          </w:tcPr>
          <w:p>
            <w:pPr>
              <w:pStyle w:val="Normal"/>
              <w:tabs>
                <w:tab w:val="clear" w:pos="720"/>
                <w:tab w:val="left" w:pos="3510" w:leader="none"/>
                <w:tab w:val="left" w:pos="9000" w:leader="none"/>
              </w:tabs>
              <w:spacing w:lineRule="atLeast" w:line="240"/>
              <w:rPr>
                <w:rFonts w:ascii="Times" w:hAnsi="Times" w:cs="Times"/>
                <w:sz w:val="23"/>
              </w:rPr>
            </w:pPr>
            <w:r>
              <w:rPr>
                <w:rFonts w:cs="Times" w:ascii="Times" w:hAnsi="Times"/>
                <w:sz w:val="23"/>
              </w:rPr>
              <w:t>ENRON NORTH AMERICA CORP.</w:t>
            </w:r>
          </w:p>
        </w:tc>
      </w:tr>
      <w:tr>
        <w:trPr/>
        <w:tc>
          <w:tcPr>
            <w:tcW w:w="4338" w:type="dxa"/>
            <w:tcBorders/>
          </w:tcPr>
          <w:p>
            <w:pPr>
              <w:pStyle w:val="Normal"/>
              <w:tabs>
                <w:tab w:val="clear" w:pos="720"/>
                <w:tab w:val="left" w:pos="3510" w:leader="none"/>
                <w:tab w:val="left" w:pos="3960" w:leader="none"/>
                <w:tab w:val="left" w:pos="5130" w:leader="none"/>
                <w:tab w:val="left" w:pos="9180" w:leader="none"/>
              </w:tabs>
              <w:snapToGrid w:val="false"/>
              <w:spacing w:lineRule="atLeast" w:line="240"/>
              <w:jc w:val="both"/>
              <w:rPr>
                <w:rFonts w:ascii="Times" w:hAnsi="Times" w:cs="Times"/>
                <w:sz w:val="23"/>
                <w:u w:val="single"/>
              </w:rPr>
            </w:pPr>
            <w:r>
              <w:rPr>
                <w:rFonts w:cs="Times" w:ascii="Times" w:hAnsi="Times"/>
                <w:sz w:val="23"/>
                <w:u w:val="single"/>
              </w:rPr>
            </w:r>
          </w:p>
        </w:tc>
        <w:tc>
          <w:tcPr>
            <w:tcW w:w="4500" w:type="dxa"/>
            <w:tcBorders/>
          </w:tcPr>
          <w:p>
            <w:pPr>
              <w:pStyle w:val="Normal"/>
              <w:tabs>
                <w:tab w:val="clear" w:pos="720"/>
                <w:tab w:val="left" w:pos="3510" w:leader="none"/>
                <w:tab w:val="left" w:pos="3960" w:leader="none"/>
                <w:tab w:val="left" w:pos="5130" w:leader="none"/>
                <w:tab w:val="left" w:pos="9180" w:leader="none"/>
              </w:tabs>
              <w:snapToGrid w:val="false"/>
              <w:spacing w:lineRule="atLeast" w:line="240"/>
              <w:jc w:val="both"/>
              <w:rPr>
                <w:rFonts w:ascii="Times" w:hAnsi="Times" w:cs="Times"/>
                <w:sz w:val="23"/>
                <w:u w:val="single"/>
              </w:rPr>
            </w:pPr>
            <w:r>
              <w:rPr>
                <w:rFonts w:cs="Times" w:ascii="Times" w:hAnsi="Times"/>
                <w:sz w:val="23"/>
                <w:u w:val="single"/>
              </w:rPr>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By: ___________________________</w:t>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By: ___________________________</w:t>
              <w:tab/>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 xml:space="preserve">(Title) </w:t>
            </w:r>
            <w:r>
              <w:rPr>
                <w:rFonts w:cs="Times" w:ascii="Times" w:hAnsi="Times"/>
                <w:sz w:val="23"/>
                <w:u w:val="single"/>
              </w:rPr>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 xml:space="preserve">(Title) </w:t>
            </w:r>
            <w:r>
              <w:rPr>
                <w:rFonts w:cs="Times" w:ascii="Times" w:hAnsi="Times"/>
                <w:sz w:val="23"/>
                <w:u w:val="single"/>
              </w:rPr>
              <w:tab/>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pPr>
            <w:r>
              <w:rPr>
                <w:rFonts w:cs="Times" w:ascii="Times" w:hAnsi="Times"/>
                <w:sz w:val="23"/>
              </w:rPr>
              <w:t xml:space="preserve">(Date) </w:t>
            </w:r>
            <w:r>
              <w:rPr>
                <w:rFonts w:cs="Times" w:ascii="Times" w:hAnsi="Times"/>
                <w:sz w:val="23"/>
                <w:u w:val="single"/>
              </w:rPr>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pPr>
            <w:r>
              <w:rPr>
                <w:rFonts w:cs="Times" w:ascii="Times" w:hAnsi="Times"/>
                <w:sz w:val="23"/>
              </w:rPr>
              <w:t xml:space="preserve">(Date) </w:t>
            </w:r>
            <w:r>
              <w:rPr>
                <w:rFonts w:cs="Times" w:ascii="Times" w:hAnsi="Times"/>
                <w:sz w:val="23"/>
                <w:u w:val="single"/>
              </w:rPr>
              <w:tab/>
            </w:r>
          </w:p>
        </w:tc>
      </w:tr>
    </w:tbl>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tabs>
          <w:tab w:val="clear" w:pos="720"/>
          <w:tab w:val="left" w:pos="2160" w:leader="none"/>
          <w:tab w:val="left" w:pos="5220" w:leader="none"/>
        </w:tabs>
        <w:spacing w:lineRule="atLeast" w:line="240"/>
        <w:ind w:hanging="3960" w:start="3960" w:end="360"/>
        <w:jc w:val="both"/>
        <w:rPr>
          <w:rFonts w:ascii="Times" w:hAnsi="Times" w:eastAsia="Times" w:cs="Times"/>
          <w:sz w:val="23"/>
        </w:rPr>
      </w:pPr>
      <w:r>
        <w:rPr>
          <w:rFonts w:eastAsia="Times" w:cs="Times" w:ascii="Times" w:hAnsi="Times"/>
          <w:sz w:val="23"/>
        </w:rPr>
        <w:t xml:space="preserve"> </w:t>
      </w:r>
    </w:p>
    <w:p>
      <w:pPr>
        <w:pStyle w:val="Normal"/>
        <w:tabs>
          <w:tab w:val="clear" w:pos="720"/>
          <w:tab w:val="left" w:pos="2160" w:leader="none"/>
          <w:tab w:val="left" w:pos="5220" w:leader="none"/>
        </w:tabs>
        <w:spacing w:lineRule="atLeast" w:line="240"/>
        <w:ind w:hanging="3960" w:start="3960" w:end="360"/>
        <w:jc w:val="both"/>
        <w:rPr>
          <w:rFonts w:ascii="Times" w:hAnsi="Times" w:cs="Times"/>
          <w:b/>
          <w:sz w:val="23"/>
        </w:rPr>
      </w:pPr>
      <w:r>
        <w:rPr>
          <w:rFonts w:cs="Times" w:ascii="Times" w:hAnsi="Times"/>
          <w:sz w:val="23"/>
        </w:rPr>
        <w:tab/>
        <w:tab/>
      </w:r>
    </w:p>
    <w:p>
      <w:pPr>
        <w:pStyle w:val="Normal"/>
        <w:spacing w:lineRule="atLeast" w:line="240"/>
        <w:ind w:hanging="3960" w:start="3960" w:end="360"/>
        <w:jc w:val="both"/>
        <w:rPr>
          <w:u w:val="single"/>
        </w:rPr>
      </w:pPr>
      <w:r>
        <w:rPr/>
        <w:tab/>
      </w:r>
    </w:p>
    <w:p>
      <w:pPr>
        <w:pStyle w:val="Normal"/>
        <w:rPr>
          <w:u w:val="single"/>
        </w:rPr>
      </w:pPr>
      <w:r>
        <w:rPr>
          <w:u w:val="single"/>
        </w:rPr>
      </w:r>
    </w:p>
    <w:sectPr>
      <w:headerReference w:type="default" r:id="rId2"/>
      <w:headerReference w:type="first" r:id="rId3"/>
      <w:footerReference w:type="default" r:id="rId4"/>
      <w:footerReference w:type="first" r:id="rId5"/>
      <w:type w:val="nextPage"/>
      <w:pgSz w:w="12240" w:h="15840"/>
      <w:pgMar w:left="1627" w:right="1627" w:gutter="0" w:header="720" w:top="1627"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r>
  </w:p>
  <w:p>
    <w:pPr>
      <w:pStyle w:val="Normal"/>
      <w:tabs>
        <w:tab w:val="clear" w:pos="720"/>
        <w:tab w:val="left" w:pos="4320" w:leader="none"/>
        <w:tab w:val="left" w:pos="8280" w:leader="none"/>
      </w:tabs>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/mnt/main-storage/datasets/enron-docs/doc/griffithtransactionagreement.doc</w:t>
    </w:r>
    <w:r>
      <w:rPr>
        <w:sz w:val="15"/>
        <w:rFonts w:cs="Times" w:ascii="Times" w:hAnsi="Time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5"/>
      </w:rPr>
    </w:pPr>
    <w:r>
      <w:rPr>
        <w:rFonts w:cs="Arial" w:ascii="Arial" w:hAnsi="Arial"/>
        <w:sz w:val="15"/>
      </w:rPr>
    </w:r>
  </w:p>
  <w:p>
    <w:pPr>
      <w:pStyle w:val="Footer"/>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/mnt/main-storage/datasets/enron-docs/doc/griffithtransactionagreement.doc</w:t>
    </w:r>
    <w:r>
      <w:rPr>
        <w:sz w:val="15"/>
        <w:rFonts w:cs="Times" w:ascii="Times" w:hAnsi="Times"/>
      </w:rPr>
      <w:fldChar w:fldCharType="end"/>
    </w:r>
  </w:p>
  <w:p>
    <w:pPr>
      <w:pStyle w:val="Footer"/>
      <w:rPr>
        <w:rFonts w:ascii="Arial" w:hAnsi="Arial" w:cs="Arial"/>
        <w:sz w:val="15"/>
      </w:rPr>
    </w:pPr>
    <w:r>
      <w:rPr>
        <w:rFonts w:cs="Arial" w:ascii="Arial" w:hAnsi="Arial"/>
        <w:sz w:val="15"/>
      </w:rPr>
    </w:r>
  </w:p>
  <w:p>
    <w:pPr>
      <w:pStyle w:val="Footer"/>
      <w:rPr>
        <w:rFonts w:ascii="Arial" w:hAnsi="Arial" w:cs="Arial"/>
        <w:sz w:val="15"/>
      </w:rPr>
    </w:pPr>
    <w:r>
      <w:rPr>
        <w:rFonts w:cs="Arial" w:ascii="Arial" w:hAnsi="Arial"/>
        <w:sz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Citizens Utilities Company</w:t>
    </w:r>
  </w:p>
  <w:p>
    <w:pPr>
      <w:pStyle w:val="Header"/>
      <w:rPr>
        <w:sz w:val="23"/>
      </w:rPr>
    </w:pPr>
    <w:r>
      <w:rPr>
        <w:sz w:val="23"/>
      </w:rPr>
      <w:t>May 21, 2001</w:t>
    </w:r>
  </w:p>
  <w:p>
    <w:pPr>
      <w:pStyle w:val="Header"/>
      <w:tabs>
        <w:tab w:val="clear" w:pos="4320"/>
        <w:tab w:val="center" w:pos="3330" w:leader="none"/>
        <w:tab w:val="right" w:pos="8640" w:leader="none"/>
      </w:tabs>
      <w:rPr/>
    </w:pPr>
    <w:r>
      <w:rPr>
        <w:sz w:val="23"/>
      </w:rPr>
      <w:t xml:space="preserve">Page </w:t>
    </w:r>
    <w:r>
      <w:rPr>
        <w:sz w:val="23"/>
      </w:rPr>
      <w:fldChar w:fldCharType="begin"/>
    </w:r>
    <w:r>
      <w:rPr>
        <w:sz w:val="23"/>
      </w:rPr>
      <w:instrText xml:space="preserve"> PAGE </w:instrText>
    </w:r>
    <w:r>
      <w:rPr>
        <w:sz w:val="23"/>
      </w:rPr>
      <w:fldChar w:fldCharType="separate"/>
    </w:r>
    <w:r>
      <w:rPr>
        <w:sz w:val="23"/>
      </w:rPr>
      <w:t>4</w:t>
    </w:r>
    <w:r>
      <w:rPr>
        <w:sz w:val="23"/>
      </w:rPr>
      <w:fldChar w:fldCharType="end"/>
    </w:r>
    <w:r>
      <w:rPr>
        <w:sz w:val="23"/>
      </w:rPr>
      <w:tab/>
    </w:r>
  </w:p>
  <w:p>
    <w:pPr>
      <w:pStyle w:val="Header"/>
      <w:rPr>
        <w:sz w:val="23"/>
      </w:rPr>
    </w:pPr>
    <w:r>
      <w:rPr>
        <w:sz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snapToGrid w:val="false"/>
            <w:rPr/>
          </w:pPr>
          <w:r>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1080"/>
        </w:tabs>
        <w:ind w:start="1080" w:hanging="720"/>
      </w:pPr>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 w:leader="none"/>
        <w:tab w:val="left" w:pos="1440" w:leader="none"/>
        <w:tab w:val="left" w:pos="2160" w:leader="none"/>
      </w:tabs>
      <w:spacing w:lineRule="atLeast" w:line="240"/>
      <w:ind w:hanging="0" w:start="0" w:end="252"/>
      <w:jc w:val="end"/>
      <w:outlineLvl w:val="0"/>
    </w:pPr>
    <w:rPr>
      <w:rFonts w:ascii="Times" w:hAnsi="Times" w:cs="Times"/>
      <w:sz w:val="23"/>
      <w:u w:val="single"/>
    </w:rPr>
  </w:style>
  <w:style w:type="paragraph" w:styleId="Heading2">
    <w:name w:val="heading 2"/>
    <w:basedOn w:val="Normal"/>
    <w:next w:val="Normal"/>
    <w:qFormat/>
    <w:pPr>
      <w:keepNext w:val="true"/>
      <w:numPr>
        <w:ilvl w:val="0"/>
        <w:numId w:val="2"/>
      </w:numPr>
      <w:tabs>
        <w:tab w:val="left" w:pos="720" w:leader="none"/>
      </w:tabs>
      <w:ind w:hanging="360" w:start="720" w:end="0"/>
      <w:outlineLvl w:val="1"/>
    </w:pPr>
    <w:rPr>
      <w:b/>
    </w:rPr>
  </w:style>
  <w:style w:type="character" w:styleId="WW8Num1z0">
    <w:name w:val="WW8Num1z0"/>
    <w:qFormat/>
    <w:rPr/>
  </w:style>
  <w:style w:type="character" w:styleId="WW8Num2z0">
    <w:name w:val="WW8Num2z0"/>
    <w:qFormat/>
    <w:rPr>
      <w:rFonts w:ascii="Times New Roman" w:hAnsi="Times New Roman" w:cs="Times New Roman"/>
      <w:b/>
    </w:rPr>
  </w:style>
  <w:style w:type="character" w:styleId="WW8Num3z0">
    <w:name w:val="WW8Num3z0"/>
    <w:qFormat/>
    <w:rPr>
      <w:b/>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lockText">
    <w:name w:val="Block Text"/>
    <w:basedOn w:val="Normal"/>
    <w:qFormat/>
    <w:pPr>
      <w:tabs>
        <w:tab w:val="clear" w:pos="720"/>
        <w:tab w:val="left" w:pos="690" w:leader="none"/>
        <w:tab w:val="left" w:pos="1440" w:leader="none"/>
        <w:tab w:val="left" w:pos="2160" w:leader="none"/>
      </w:tabs>
      <w:spacing w:lineRule="atLeast" w:line="240"/>
      <w:ind w:hanging="3960" w:start="3960" w:end="360"/>
      <w:jc w:val="both"/>
    </w:pPr>
    <w:rPr>
      <w:rFonts w:ascii="Times" w:hAnsi="Times" w:cs="Times"/>
      <w:sz w:val="23"/>
    </w:rPr>
  </w:style>
  <w:style w:type="paragraph" w:styleId="BodyTextIndent">
    <w:name w:val="Body Text Indent"/>
    <w:basedOn w:val="Normal"/>
    <w:pPr>
      <w:ind w:hanging="360" w:start="18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2001-08-10T12:59:00Z</dcterms:created>
  <dc:creator>EW/LN/CB</dc:creator>
  <dc:description/>
  <cp:keywords>Ethan</cp:keywords>
  <dc:language>en-CA</dc:language>
  <cp:lastModifiedBy>kward</cp:lastModifiedBy>
  <cp:lastPrinted>2001-06-01T09:09:00Z</cp:lastPrinted>
  <dcterms:modified xsi:type="dcterms:W3CDTF">2001-08-10T12:59:00Z</dcterms:modified>
  <cp:revision>2</cp:revision>
  <dc:subject/>
  <dc:title>Ethan Frome</dc:title>
</cp:coreProperties>
</file>