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North America/Citizens Utilities (Arizona)</w:t>
      </w:r>
    </w:p>
    <w:p>
      <w:pPr>
        <w:pStyle w:val="Normal"/>
        <w:jc w:val="center"/>
        <w:rPr>
          <w:b/>
        </w:rPr>
      </w:pPr>
      <w:r>
        <w:rPr>
          <w:b/>
        </w:rPr>
        <w:t>Natural Gas Supply Proposal</w:t>
      </w:r>
    </w:p>
    <w:p>
      <w:pPr>
        <w:pStyle w:val="Normal"/>
        <w:jc w:val="center"/>
        <w:rPr>
          <w:b/>
        </w:rPr>
      </w:pPr>
      <w:r>
        <w:rPr>
          <w:b/>
        </w:rPr>
        <w:t>Transwestern Pipeline</w:t>
      </w:r>
    </w:p>
    <w:p>
      <w:pPr>
        <w:pStyle w:val="Normal"/>
        <w:rPr>
          <w:b/>
        </w:rPr>
      </w:pPr>
      <w:r>
        <w:rPr>
          <w:b/>
        </w:rPr>
      </w:r>
    </w:p>
    <w:p>
      <w:pPr>
        <w:pStyle w:val="Normal"/>
        <w:rPr/>
      </w:pPr>
      <w:r>
        <w:rPr/>
      </w:r>
    </w:p>
    <w:p>
      <w:pPr>
        <w:pStyle w:val="Normal"/>
        <w:rPr/>
      </w:pPr>
      <w:r>
        <w:rPr>
          <w:b/>
        </w:rPr>
        <w:t>Buyer:</w:t>
      </w:r>
      <w:r>
        <w:rPr/>
        <w:tab/>
        <w:t>Citizens Communications Company, Arizona Gas Division</w:t>
      </w:r>
    </w:p>
    <w:p>
      <w:pPr>
        <w:pStyle w:val="Normal"/>
        <w:rPr/>
      </w:pPr>
      <w:r>
        <w:rPr/>
      </w:r>
    </w:p>
    <w:p>
      <w:pPr>
        <w:pStyle w:val="Normal"/>
        <w:rPr/>
      </w:pPr>
      <w:r>
        <w:rPr>
          <w:b/>
        </w:rPr>
        <w:t>Seller:</w:t>
      </w:r>
      <w:r>
        <w:rPr/>
        <w:tab/>
        <w:t>Enron North America</w:t>
      </w:r>
    </w:p>
    <w:p>
      <w:pPr>
        <w:pStyle w:val="Normal"/>
        <w:rPr/>
      </w:pPr>
      <w:r>
        <w:rPr/>
      </w:r>
    </w:p>
    <w:p>
      <w:pPr>
        <w:pStyle w:val="Normal"/>
        <w:rPr/>
      </w:pPr>
      <w:r>
        <w:rPr>
          <w:b/>
        </w:rPr>
        <w:t>Term:</w:t>
      </w:r>
      <w:r>
        <w:rPr/>
        <w:tab/>
        <w:t>July 1, 2001 – September 30, 2003</w:t>
      </w:r>
    </w:p>
    <w:p>
      <w:pPr>
        <w:pStyle w:val="Normal"/>
        <w:rPr/>
      </w:pPr>
      <w:r>
        <w:rPr/>
      </w:r>
    </w:p>
    <w:p>
      <w:pPr>
        <w:pStyle w:val="Normal"/>
        <w:rPr/>
      </w:pPr>
      <w:r>
        <w:rPr>
          <w:b/>
        </w:rPr>
        <w:t>Delivery Point:</w:t>
      </w:r>
      <w:r>
        <w:rPr/>
        <w:tab/>
        <w:t>Griffith Interconnection on Transwestern Pipeline</w:t>
      </w:r>
    </w:p>
    <w:p>
      <w:pPr>
        <w:pStyle w:val="Normal"/>
        <w:rPr/>
      </w:pPr>
      <w:r>
        <w:rPr/>
      </w:r>
    </w:p>
    <w:p>
      <w:pPr>
        <w:pStyle w:val="Normal"/>
        <w:ind w:hanging="1440" w:start="1440" w:end="0"/>
        <w:rPr/>
      </w:pPr>
      <w:r>
        <w:rPr>
          <w:b/>
        </w:rPr>
        <w:t>Quantity:</w:t>
        <w:tab/>
      </w:r>
      <w:r>
        <w:rPr/>
        <w:t>The Daily Contract Quantity (DCQ) shall be as follows:</w:t>
      </w:r>
    </w:p>
    <w:p>
      <w:pPr>
        <w:pStyle w:val="Normal"/>
        <w:ind w:hanging="1440" w:start="1440" w:end="0"/>
        <w:rPr>
          <w:b/>
        </w:rPr>
      </w:pPr>
      <w:r>
        <w:rPr>
          <w:b/>
        </w:rPr>
      </w:r>
    </w:p>
    <w:p>
      <w:pPr>
        <w:pStyle w:val="Heading1"/>
        <w:rPr/>
      </w:pPr>
      <w:r>
        <w:rPr/>
        <w:t>Month</w:t>
        <w:tab/>
        <w:tab/>
        <w:tab/>
        <w:t>DCQ</w:t>
      </w:r>
    </w:p>
    <w:p>
      <w:pPr>
        <w:pStyle w:val="Normal"/>
        <w:ind w:start="1440" w:end="0"/>
        <w:rPr/>
      </w:pPr>
      <w:r>
        <w:rPr/>
      </w:r>
    </w:p>
    <w:p>
      <w:pPr>
        <w:pStyle w:val="Normal"/>
        <w:ind w:start="1440" w:end="0"/>
        <w:rPr/>
      </w:pPr>
      <w:r>
        <w:rPr/>
        <w:t>July, 01</w:t>
        <w:tab/>
        <w:tab/>
        <w:tab/>
        <w:t>20,000</w:t>
      </w:r>
    </w:p>
    <w:p>
      <w:pPr>
        <w:pStyle w:val="Normal"/>
        <w:ind w:start="1440" w:end="0"/>
        <w:rPr/>
      </w:pPr>
      <w:r>
        <w:rPr/>
        <w:t>August</w:t>
        <w:tab/>
        <w:tab/>
        <w:tab/>
        <w:t>20,000</w:t>
      </w:r>
    </w:p>
    <w:p>
      <w:pPr>
        <w:pStyle w:val="Normal"/>
        <w:ind w:start="1440" w:end="0"/>
        <w:rPr/>
      </w:pPr>
      <w:r>
        <w:rPr/>
        <w:t>September</w:t>
        <w:tab/>
        <w:tab/>
        <w:t>20,000</w:t>
      </w:r>
    </w:p>
    <w:p>
      <w:pPr>
        <w:pStyle w:val="Normal"/>
        <w:ind w:start="1440" w:end="0"/>
        <w:rPr/>
      </w:pPr>
      <w:r>
        <w:rPr/>
        <w:t>October</w:t>
        <w:tab/>
        <w:tab/>
        <w:tab/>
        <w:t>20,000</w:t>
      </w:r>
    </w:p>
    <w:p>
      <w:pPr>
        <w:pStyle w:val="Normal"/>
        <w:ind w:start="1440" w:end="0"/>
        <w:rPr/>
      </w:pPr>
      <w:r>
        <w:rPr/>
        <w:t>November</w:t>
        <w:tab/>
        <w:tab/>
        <w:t>15,000</w:t>
      </w:r>
    </w:p>
    <w:p>
      <w:pPr>
        <w:pStyle w:val="Normal"/>
        <w:ind w:start="1440" w:end="0"/>
        <w:rPr/>
      </w:pPr>
      <w:r>
        <w:rPr/>
        <w:t>December</w:t>
        <w:tab/>
        <w:tab/>
        <w:t>15,000</w:t>
      </w:r>
    </w:p>
    <w:p>
      <w:pPr>
        <w:pStyle w:val="Normal"/>
        <w:ind w:start="1440" w:end="0"/>
        <w:rPr/>
      </w:pPr>
      <w:r>
        <w:rPr/>
      </w:r>
    </w:p>
    <w:p>
      <w:pPr>
        <w:pStyle w:val="Normal"/>
        <w:ind w:start="1440" w:end="0"/>
        <w:rPr/>
      </w:pPr>
      <w:r>
        <w:rPr/>
        <w:t>January ’02 – Sept, 03</w:t>
        <w:tab/>
        <w:t>15,000</w:t>
      </w:r>
    </w:p>
    <w:p>
      <w:pPr>
        <w:pStyle w:val="Normal"/>
        <w:ind w:start="1440" w:end="0"/>
        <w:rPr/>
      </w:pPr>
      <w:r>
        <w:rPr/>
      </w:r>
    </w:p>
    <w:p>
      <w:pPr>
        <w:pStyle w:val="Normal"/>
        <w:ind w:start="1440" w:end="0"/>
        <w:rPr/>
      </w:pPr>
      <w:r>
        <w:rPr/>
        <w:t>ENA will make additional quantities up to 25,000 MMBtu available to Citizens on a mutually acceptable basis.  Such additional quantities shall be referred to as Excess Utility Volumes.  It is understood that the price for Excess Utility Volumes shall be the same as the price for the DCQ except that there shall be no demand charge and the $.07/MMBtu Demand Charge indicated in the Price section below shall be collected by EPMI as a variable charge on any Excess utility Volumes delivered.</w:t>
      </w:r>
    </w:p>
    <w:p>
      <w:pPr>
        <w:pStyle w:val="Normal"/>
        <w:ind w:start="1440" w:end="0"/>
        <w:rPr/>
      </w:pPr>
      <w:r>
        <w:rPr/>
        <w:t xml:space="preserve"> </w:t>
      </w:r>
    </w:p>
    <w:p>
      <w:pPr>
        <w:pStyle w:val="Normal"/>
        <w:ind w:hanging="360" w:start="360" w:end="0"/>
        <w:rPr>
          <w:b/>
        </w:rPr>
      </w:pPr>
      <w:r>
        <w:rPr>
          <w:b/>
        </w:rPr>
        <w:t>Price:</w:t>
        <w:tab/>
        <w:tab/>
      </w:r>
    </w:p>
    <w:p>
      <w:pPr>
        <w:pStyle w:val="Normal"/>
        <w:ind w:hanging="360" w:start="360" w:end="0"/>
        <w:rPr>
          <w:b/>
        </w:rPr>
      </w:pPr>
      <w:r>
        <w:rPr>
          <w:b/>
        </w:rPr>
      </w:r>
    </w:p>
    <w:p>
      <w:pPr>
        <w:pStyle w:val="Normal"/>
        <w:ind w:hanging="360" w:start="360" w:end="0"/>
        <w:rPr/>
      </w:pPr>
      <w:r>
        <w:rPr/>
        <w:tab/>
        <w:t>I.</w:t>
        <w:tab/>
        <w:t>Basin Gas Cost:</w:t>
      </w:r>
    </w:p>
    <w:p>
      <w:pPr>
        <w:pStyle w:val="Normal"/>
        <w:numPr>
          <w:ilvl w:val="0"/>
          <w:numId w:val="2"/>
        </w:numPr>
        <w:rPr/>
      </w:pPr>
      <w:r>
        <w:rPr/>
        <w:t>Demand Charge - $.07/MMBtu times the DCQ</w:t>
      </w:r>
    </w:p>
    <w:p>
      <w:pPr>
        <w:pStyle w:val="Normal"/>
        <w:numPr>
          <w:ilvl w:val="0"/>
          <w:numId w:val="2"/>
        </w:numPr>
        <w:rPr/>
      </w:pPr>
      <w:r>
        <w:rPr/>
        <w:t>Commodity Charge</w:t>
      </w:r>
    </w:p>
    <w:p>
      <w:pPr>
        <w:pStyle w:val="Normal"/>
        <w:numPr>
          <w:ilvl w:val="0"/>
          <w:numId w:val="3"/>
        </w:numPr>
        <w:rPr/>
      </w:pPr>
      <w:r>
        <w:rPr/>
        <w:t xml:space="preserve">Base Commodity Charge: </w:t>
      </w:r>
      <w:r>
        <w:rPr>
          <w:u w:val="single"/>
        </w:rPr>
        <w:t>Gas Daily</w:t>
      </w:r>
      <w:r>
        <w:rPr/>
        <w:t xml:space="preserve"> Mid-Point of the Common Range for El Paso Pipeline, San Juan Basin, Non-Bondad deliveries for the Day of delivery.  </w:t>
      </w:r>
    </w:p>
    <w:p>
      <w:pPr>
        <w:pStyle w:val="BodyTextIndent"/>
        <w:numPr>
          <w:ilvl w:val="0"/>
          <w:numId w:val="9"/>
        </w:numPr>
        <w:rPr/>
      </w:pPr>
      <w:r>
        <w:rPr/>
        <w:t>Nominations for Tuesday–Friday for weeks without a holiday must be made by 8:30 am the Day prior to the delivery day.</w:t>
      </w:r>
    </w:p>
    <w:p>
      <w:pPr>
        <w:pStyle w:val="Normal"/>
        <w:numPr>
          <w:ilvl w:val="0"/>
          <w:numId w:val="9"/>
        </w:numPr>
        <w:rPr/>
      </w:pPr>
      <w:r>
        <w:rPr/>
        <w:t>Nominations for Saturday–Monday for non-holiday weekends must be received by 8:30 am Friday morning and quantity must be the same for all three days.</w:t>
      </w:r>
    </w:p>
    <w:p>
      <w:pPr>
        <w:pStyle w:val="Normal"/>
        <w:numPr>
          <w:ilvl w:val="0"/>
          <w:numId w:val="9"/>
        </w:numPr>
        <w:rPr/>
      </w:pPr>
      <w:r>
        <w:rPr/>
        <w:t>Nominations for Saturday–Tuesday for holiday weekends where the holiday falls on a Monday must be received by 8:30 am Friday and quantity must be the same for all four days.</w:t>
      </w:r>
    </w:p>
    <w:p>
      <w:pPr>
        <w:pStyle w:val="Normal"/>
        <w:numPr>
          <w:ilvl w:val="0"/>
          <w:numId w:val="9"/>
        </w:numPr>
        <w:rPr/>
      </w:pPr>
      <w:r>
        <w:rPr/>
        <w:t>Nominations for the two days during the week when a business day is followed by a holiday must be received by 8:30 am on the business day prior to the holiday and quantity must be the same for both days.</w:t>
      </w:r>
    </w:p>
    <w:p>
      <w:pPr>
        <w:pStyle w:val="Normal"/>
        <w:numPr>
          <w:ilvl w:val="0"/>
          <w:numId w:val="3"/>
        </w:numPr>
        <w:rPr/>
      </w:pPr>
      <w:r>
        <w:rPr/>
        <w:t xml:space="preserve">Late Nomination Commodity Charge Option: </w:t>
      </w:r>
      <w:r>
        <w:rPr>
          <w:u w:val="single"/>
        </w:rPr>
        <w:t>Gas Daily</w:t>
      </w:r>
      <w:r>
        <w:rPr/>
        <w:t xml:space="preserve"> High End of the Absolute Range for El Paso Pipeline, San Juan Basin, Non-Bondad deliveries for the Day of delivery.   Applicable if nominations are received after 8:30 am.  All other scheduling conditions from B. 1. Above apply. </w:t>
      </w:r>
    </w:p>
    <w:p>
      <w:pPr>
        <w:pStyle w:val="Normal"/>
        <w:numPr>
          <w:ilvl w:val="0"/>
          <w:numId w:val="3"/>
        </w:numPr>
        <w:rPr/>
      </w:pPr>
      <w:r>
        <w:rPr/>
        <w:t xml:space="preserve">Weekend/Holiday “Put Option” Commodity Charge:  Buyer can reduce quantity for a single day during a non-holiday weekend, holiday weekend or mid week holiday to a quantity lower than the quantity for the other days during the same period, and as low as zero, in which case a charge of $.50/MMBtu shall be assessed all deliveries during that period.  Late Nomination Commodity Charge Option can be applied to the Weekend “Put Option” in which case $.50/MMBtu charge shall be assessed on the </w:t>
      </w:r>
      <w:r>
        <w:rPr>
          <w:u w:val="single"/>
        </w:rPr>
        <w:t>Gas Daily</w:t>
      </w:r>
      <w:r>
        <w:rPr/>
        <w:t xml:space="preserve"> High End of the Absolute Range for El Paso Pipeline, San Juan Basin, Non-Bondad deliveries for the Day of delivery. </w:t>
      </w:r>
    </w:p>
    <w:p>
      <w:pPr>
        <w:pStyle w:val="Normal"/>
        <w:numPr>
          <w:ilvl w:val="0"/>
          <w:numId w:val="3"/>
        </w:numPr>
        <w:rPr/>
      </w:pPr>
      <w:r>
        <w:rPr/>
        <w:t>Seller shall not be obligated to supply gas to buyer if nominations are received after 8:30.  Transactions will take place on a mutually acceptable basis and will be priced at market prices at that time.</w:t>
      </w:r>
    </w:p>
    <w:p>
      <w:pPr>
        <w:pStyle w:val="Normal"/>
        <w:ind w:start="1440" w:end="0"/>
        <w:rPr/>
      </w:pPr>
      <w:r>
        <w:rPr/>
      </w:r>
    </w:p>
    <w:p>
      <w:pPr>
        <w:pStyle w:val="Normal"/>
        <w:numPr>
          <w:ilvl w:val="0"/>
          <w:numId w:val="4"/>
        </w:numPr>
        <w:tabs>
          <w:tab w:val="left" w:pos="720" w:leader="none"/>
        </w:tabs>
        <w:ind w:hanging="360" w:start="720" w:end="0"/>
        <w:rPr/>
      </w:pPr>
      <w:r>
        <w:rPr/>
        <w:t>San Juan Lateral Cost</w:t>
      </w:r>
    </w:p>
    <w:p>
      <w:pPr>
        <w:pStyle w:val="Normal"/>
        <w:numPr>
          <w:ilvl w:val="0"/>
          <w:numId w:val="5"/>
        </w:numPr>
        <w:rPr/>
      </w:pPr>
      <w:r>
        <w:rPr/>
        <w:t>Demand Charge – 100% of the “as-billed” rate, currently $.1031/MMBtu</w:t>
      </w:r>
    </w:p>
    <w:p>
      <w:pPr>
        <w:pStyle w:val="Normal"/>
        <w:numPr>
          <w:ilvl w:val="0"/>
          <w:numId w:val="5"/>
        </w:numPr>
        <w:rPr/>
      </w:pPr>
      <w:r>
        <w:rPr/>
        <w:t>Commodity Charge – 100% of the “as-billed” commodity charge, currently $.0011/MMBtu</w:t>
      </w:r>
    </w:p>
    <w:p>
      <w:pPr>
        <w:pStyle w:val="Normal"/>
        <w:numPr>
          <w:ilvl w:val="0"/>
          <w:numId w:val="5"/>
        </w:numPr>
        <w:rPr/>
      </w:pPr>
      <w:r>
        <w:rPr/>
        <w:t>Fuel Charge – 100% of the “as-billed” fuel charge, currently .25 %</w:t>
      </w:r>
    </w:p>
    <w:p>
      <w:pPr>
        <w:pStyle w:val="Normal"/>
        <w:rPr/>
      </w:pPr>
      <w:r>
        <w:rPr/>
      </w:r>
    </w:p>
    <w:p>
      <w:pPr>
        <w:pStyle w:val="Normal"/>
        <w:numPr>
          <w:ilvl w:val="0"/>
          <w:numId w:val="4"/>
        </w:numPr>
        <w:tabs>
          <w:tab w:val="left" w:pos="720" w:leader="none"/>
        </w:tabs>
        <w:rPr/>
      </w:pPr>
      <w:r>
        <w:rPr/>
        <w:t>Mainline Charge</w:t>
      </w:r>
    </w:p>
    <w:p>
      <w:pPr>
        <w:pStyle w:val="Normal"/>
        <w:numPr>
          <w:ilvl w:val="0"/>
          <w:numId w:val="6"/>
        </w:numPr>
        <w:rPr/>
      </w:pPr>
      <w:r>
        <w:rPr/>
        <w:t>Demand Charge – 100% of the “as-billed” rate, currently $.225/MMBtu</w:t>
      </w:r>
    </w:p>
    <w:p>
      <w:pPr>
        <w:pStyle w:val="Normal"/>
        <w:numPr>
          <w:ilvl w:val="0"/>
          <w:numId w:val="6"/>
        </w:numPr>
        <w:rPr/>
      </w:pPr>
      <w:r>
        <w:rPr/>
        <w:t>Commodity Charge – 100% of the “as-billed” commodity charge, currently $.023/MMBtu</w:t>
      </w:r>
    </w:p>
    <w:p>
      <w:pPr>
        <w:pStyle w:val="Normal"/>
        <w:numPr>
          <w:ilvl w:val="0"/>
          <w:numId w:val="6"/>
        </w:numPr>
        <w:rPr/>
      </w:pPr>
      <w:r>
        <w:rPr/>
        <w:t>Fuel Charge – 100% of the “as-billed” fuel charge, currently 4.5 %</w:t>
      </w:r>
    </w:p>
    <w:p>
      <w:pPr>
        <w:pStyle w:val="Normal"/>
        <w:rPr/>
      </w:pPr>
      <w:r>
        <w:rPr/>
      </w:r>
    </w:p>
    <w:p>
      <w:pPr>
        <w:pStyle w:val="Normal"/>
        <w:numPr>
          <w:ilvl w:val="0"/>
          <w:numId w:val="4"/>
        </w:numPr>
        <w:tabs>
          <w:tab w:val="left" w:pos="720" w:leader="none"/>
        </w:tabs>
        <w:ind w:hanging="360" w:start="720" w:end="0"/>
        <w:rPr/>
      </w:pPr>
      <w:r>
        <w:rPr/>
        <w:t>Firm Peaking Gas Requirements</w:t>
      </w:r>
    </w:p>
    <w:p>
      <w:pPr>
        <w:pStyle w:val="Normal"/>
        <w:numPr>
          <w:ilvl w:val="0"/>
          <w:numId w:val="7"/>
        </w:numPr>
        <w:rPr/>
      </w:pPr>
      <w:r>
        <w:rPr/>
        <w:t>In the event that Citizens expects its gas usage to exceed the total amount of capacity Citizens has reserved for its utility customers (i.e. 25,000 MMBtu less the quantities indicated in the Quantity section above), Citizens can request EPMI to deliver Firm Peaking Gas to the Citizens’ city gate.</w:t>
      </w:r>
    </w:p>
    <w:p>
      <w:pPr>
        <w:pStyle w:val="Normal"/>
        <w:numPr>
          <w:ilvl w:val="0"/>
          <w:numId w:val="7"/>
        </w:numPr>
        <w:rPr/>
      </w:pPr>
      <w:r>
        <w:rPr/>
        <w:t>The Price for Firm Peaking Gas shall be based the alternative price available to EPMI for Gas at the Southern California Border.  EPMI shall procure Gas on behalf of Citizens and provide to Citizens at its cost plus $.05/MMBtu.</w:t>
      </w:r>
    </w:p>
    <w:p>
      <w:pPr>
        <w:pStyle w:val="Normal"/>
        <w:numPr>
          <w:ilvl w:val="0"/>
          <w:numId w:val="7"/>
        </w:numPr>
        <w:rPr/>
      </w:pPr>
      <w:r>
        <w:rPr/>
        <w:t xml:space="preserve">EPMI shall deliver up to 7,500 MMBtu on a Firm basis. </w:t>
      </w:r>
    </w:p>
    <w:p>
      <w:pPr>
        <w:pStyle w:val="Normal"/>
        <w:numPr>
          <w:ilvl w:val="0"/>
          <w:numId w:val="7"/>
        </w:numPr>
        <w:rPr/>
      </w:pPr>
      <w:r>
        <w:rPr/>
        <w:t xml:space="preserve">Citizens and EPMI also can agree that such Firm Peaking Gas can be provided from other sources such as utilizing Transwestern Pipeline imbalance gas within allowable tolerance limits, using interruptible transportation on Transwestern or other means that might be available.  </w:t>
      </w:r>
    </w:p>
    <w:p>
      <w:pPr>
        <w:pStyle w:val="Normal"/>
        <w:rPr/>
      </w:pPr>
      <w:r>
        <w:rPr/>
      </w:r>
    </w:p>
    <w:p>
      <w:pPr>
        <w:pStyle w:val="Normal"/>
        <w:ind w:hanging="360" w:start="720" w:end="0"/>
        <w:rPr/>
      </w:pPr>
      <w:r>
        <w:rPr/>
        <w:t>V.</w:t>
        <w:tab/>
        <w:t>Increase in Limit of Liability for Transwestern Services to $1 million</w:t>
      </w:r>
    </w:p>
    <w:p>
      <w:pPr>
        <w:pStyle w:val="Normal"/>
        <w:numPr>
          <w:ilvl w:val="0"/>
          <w:numId w:val="7"/>
        </w:numPr>
        <w:rPr/>
      </w:pPr>
      <w:r>
        <w:rPr/>
        <w:t>Demand Charge - $12,000/month (about $.02/MMBtu)</w:t>
      </w:r>
    </w:p>
    <w:p>
      <w:pPr>
        <w:pStyle w:val="Normal"/>
        <w:numPr>
          <w:ilvl w:val="0"/>
          <w:numId w:val="7"/>
        </w:numPr>
        <w:rPr/>
      </w:pPr>
      <w:r>
        <w:rPr/>
        <w:t>Variable Charge – None</w:t>
      </w:r>
    </w:p>
    <w:p>
      <w:pPr>
        <w:pStyle w:val="Normal"/>
        <w:rPr/>
      </w:pPr>
      <w:r>
        <w:rPr/>
      </w:r>
    </w:p>
    <w:p>
      <w:pPr>
        <w:pStyle w:val="Heading2"/>
        <w:numPr>
          <w:ilvl w:val="0"/>
          <w:numId w:val="10"/>
        </w:numPr>
        <w:rPr>
          <w:b w:val="false"/>
        </w:rPr>
      </w:pPr>
      <w:r>
        <w:rPr>
          <w:b w:val="false"/>
        </w:rPr>
        <w:t>Profit to ENA</w:t>
      </w:r>
    </w:p>
    <w:p>
      <w:pPr>
        <w:pStyle w:val="Normal"/>
        <w:numPr>
          <w:ilvl w:val="0"/>
          <w:numId w:val="8"/>
        </w:numPr>
        <w:rPr/>
      </w:pPr>
      <w:r>
        <w:rPr/>
        <w:t>7.5% of the Spread Value</w:t>
      </w:r>
    </w:p>
    <w:p>
      <w:pPr>
        <w:pStyle w:val="Normal"/>
        <w:numPr>
          <w:ilvl w:val="0"/>
          <w:numId w:val="8"/>
        </w:numPr>
        <w:rPr/>
      </w:pPr>
      <w:r>
        <w:rPr/>
        <w:t xml:space="preserve">Spread Value = </w:t>
      </w:r>
      <w:r>
        <w:rPr>
          <w:u w:val="single"/>
        </w:rPr>
        <w:t>Gas Daily</w:t>
      </w:r>
      <w:r>
        <w:rPr/>
        <w:t xml:space="preserve"> Mid-Point of the Common Range for PG&amp;E, large pkgs., in the table titled “Others,” for each day of delivery less $.10/MMBtu, less all fixed and variable pipeline charges identified above, less $.07/MMBtu, less </w:t>
      </w:r>
      <w:r>
        <w:rPr>
          <w:u w:val="single"/>
        </w:rPr>
        <w:t>Gas Daily</w:t>
      </w:r>
      <w:r>
        <w:rPr/>
        <w:t xml:space="preserve"> Mid-Point of the Common Range for El Paso Pipeline, San Juan Basin, Non-Bondad deliveries for the Day of delivery, times the quantity of Gas delivered each day.  If the indexes described are unavailable for any reason, the midpoint indexes published in the next issue shall be used.</w:t>
      </w:r>
    </w:p>
    <w:p>
      <w:pPr>
        <w:pStyle w:val="Normal"/>
        <w:ind w:start="720" w:end="0"/>
        <w:rPr/>
      </w:pPr>
      <w:r>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2"/>
      <w:numFmt w:val="upperRoman"/>
      <w:lvlText w:val="%1."/>
      <w:lvlJc w:val="start"/>
      <w:pPr>
        <w:tabs>
          <w:tab w:val="num" w:pos="1080"/>
        </w:tabs>
        <w:ind w:start="1080" w:hanging="72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upperLetter"/>
      <w:lvlText w:val="%1."/>
      <w:lvlJc w:val="start"/>
      <w:pPr>
        <w:tabs>
          <w:tab w:val="num" w:pos="1080"/>
        </w:tabs>
        <w:ind w:start="1080" w:hanging="360"/>
      </w:pPr>
      <w:rPr/>
    </w:lvl>
  </w:abstractNum>
  <w:abstractNum w:abstractNumId="9">
    <w:lvl w:ilvl="0">
      <w:start w:val="1"/>
      <w:numFmt w:val="lowerLetter"/>
      <w:lvlText w:val="%1."/>
      <w:lvlJc w:val="start"/>
      <w:pPr>
        <w:tabs>
          <w:tab w:val="num" w:pos="1800"/>
        </w:tabs>
        <w:ind w:start="1800" w:hanging="360"/>
      </w:pPr>
      <w:rPr/>
    </w:lvl>
  </w:abstractNum>
  <w:abstractNum w:abstractNumId="10">
    <w:lvl w:ilvl="0">
      <w:start w:val="6"/>
      <w:numFmt w:val="upp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1440" w:end="0"/>
      <w:outlineLvl w:val="0"/>
    </w:pPr>
    <w:rPr>
      <w:b/>
    </w:rPr>
  </w:style>
  <w:style w:type="paragraph" w:styleId="Heading2">
    <w:name w:val="heading 2"/>
    <w:basedOn w:val="Normal"/>
    <w:next w:val="Normal"/>
    <w:qFormat/>
    <w:pPr>
      <w:keepNext w:val="true"/>
      <w:numPr>
        <w:ilvl w:val="0"/>
        <w:numId w:val="4"/>
      </w:numPr>
      <w:tabs>
        <w:tab w:val="left" w:pos="720" w:leader="none"/>
      </w:tabs>
      <w:ind w:hanging="360" w:start="720" w:end="0"/>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8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2001-04-17T13:27:00Z</dcterms:created>
  <dc:creator>cfoster</dc:creator>
  <dc:description/>
  <dc:language>en-CA</dc:language>
  <cp:lastModifiedBy>kward</cp:lastModifiedBy>
  <cp:lastPrinted>2001-03-22T07:16:00Z</cp:lastPrinted>
  <dcterms:modified xsi:type="dcterms:W3CDTF">2001-04-17T16:09:00Z</dcterms:modified>
  <cp:revision>3</cp:revision>
  <dc:subject/>
  <dc:title>Enron Capital &amp; Trade Resources/Citizens Utilities (Arizona)</dc:title>
</cp:coreProperties>
</file>