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Enron Capital &amp; Trade Resources/Citizens Utilities (Arizona)</w:t>
      </w:r>
    </w:p>
    <w:p>
      <w:pPr>
        <w:pStyle w:val="Normal"/>
        <w:jc w:val="center"/>
        <w:rPr>
          <w:b/>
        </w:rPr>
      </w:pPr>
      <w:r>
        <w:rPr>
          <w:b/>
        </w:rPr>
        <w:t>Natural Gas Operations Outsourcing Proposal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360" w:leader="none"/>
        </w:tabs>
        <w:rPr/>
      </w:pPr>
      <w:r>
        <w:rPr/>
        <w:t>Summary of Existing Arrangement</w:t>
      </w:r>
    </w:p>
    <w:p>
      <w:pPr>
        <w:pStyle w:val="Normal"/>
        <w:numPr>
          <w:ilvl w:val="0"/>
          <w:numId w:val="27"/>
        </w:numPr>
        <w:tabs>
          <w:tab w:val="left" w:pos="720" w:leader="none"/>
        </w:tabs>
        <w:ind w:hanging="360" w:start="720" w:end="0"/>
        <w:rPr/>
      </w:pPr>
      <w:r>
        <w:rPr/>
        <w:t>Transwestern - ENA provides full requirements gas supply services at a gas cost of San Juan index less $.012/MMBtu and manages 25,000 MMBtu/d of capacity on San Juan Lateral and Mainline obtained via capacity release.  ENA pays all TW invoices and re-bills Citizens as follows.</w:t>
      </w:r>
    </w:p>
    <w:p>
      <w:pPr>
        <w:pStyle w:val="Normal"/>
        <w:numPr>
          <w:ilvl w:val="0"/>
          <w:numId w:val="11"/>
        </w:numPr>
        <w:rPr/>
      </w:pPr>
      <w:r>
        <w:rPr/>
        <w:t>San Juan Lateral – 25,000 + Fuel</w:t>
      </w:r>
    </w:p>
    <w:p>
      <w:pPr>
        <w:pStyle w:val="Normal"/>
        <w:ind w:hanging="360" w:start="1800" w:end="0"/>
        <w:rPr/>
      </w:pPr>
      <w:r>
        <w:rPr/>
        <w:t>1.</w:t>
        <w:tab/>
        <w:t>ENA manages capacity obtained via capacity release</w:t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1800" w:leader="none"/>
        </w:tabs>
        <w:ind w:hanging="720" w:start="2160" w:end="0"/>
        <w:rPr/>
      </w:pPr>
      <w:r>
        <w:rPr/>
        <w:t>ENA buys at 100% of As-Billed Rate = $.12/MMBtu +/- and pays TW transport bill</w:t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1800" w:leader="none"/>
        </w:tabs>
        <w:ind w:hanging="360" w:start="1800" w:end="0"/>
        <w:rPr/>
      </w:pPr>
      <w:r>
        <w:rPr/>
        <w:t>Citizens purchases usage quantity at index less $.012/MMBtu, plus 100% of as-billed rate for the usage quantity only</w:t>
      </w:r>
    </w:p>
    <w:p>
      <w:pPr>
        <w:pStyle w:val="Normal"/>
        <w:numPr>
          <w:ilvl w:val="0"/>
          <w:numId w:val="28"/>
        </w:numPr>
        <w:tabs>
          <w:tab w:val="clear" w:pos="720"/>
          <w:tab w:val="left" w:pos="1800" w:leader="none"/>
        </w:tabs>
        <w:ind w:hanging="720" w:start="2160" w:end="0"/>
        <w:rPr/>
      </w:pPr>
      <w:r>
        <w:rPr/>
        <w:t>ENA is long difference between usage and 25,000 MMBtu/d</w:t>
      </w:r>
    </w:p>
    <w:p>
      <w:pPr>
        <w:pStyle w:val="Normal"/>
        <w:numPr>
          <w:ilvl w:val="0"/>
          <w:numId w:val="11"/>
        </w:numPr>
        <w:rPr/>
      </w:pPr>
      <w:r>
        <w:rPr/>
        <w:t>Mainline</w:t>
      </w:r>
    </w:p>
    <w:p>
      <w:pPr>
        <w:pStyle w:val="Normal"/>
        <w:numPr>
          <w:ilvl w:val="0"/>
          <w:numId w:val="6"/>
        </w:numPr>
        <w:rPr/>
      </w:pPr>
      <w:r>
        <w:rPr/>
        <w:t xml:space="preserve">ENA manages capacity obtained via capacity release </w:t>
      </w:r>
    </w:p>
    <w:p>
      <w:pPr>
        <w:pStyle w:val="Normal"/>
        <w:numPr>
          <w:ilvl w:val="0"/>
          <w:numId w:val="6"/>
        </w:numPr>
        <w:rPr/>
      </w:pPr>
      <w:r>
        <w:rPr/>
        <w:t>Citizens purchases 100% of this capacity at 100% of as-billed rate</w:t>
      </w:r>
    </w:p>
    <w:p>
      <w:pPr>
        <w:pStyle w:val="Normal"/>
        <w:numPr>
          <w:ilvl w:val="0"/>
          <w:numId w:val="6"/>
        </w:numPr>
        <w:rPr/>
      </w:pPr>
      <w:r>
        <w:rPr/>
        <w:t>Mainline capacity has little incremental value due to capacity restrictions on TW.  If capacity is scheduled to an alternate delivery point it generally is cut</w:t>
      </w:r>
    </w:p>
    <w:p>
      <w:pPr>
        <w:pStyle w:val="Normal"/>
        <w:numPr>
          <w:ilvl w:val="0"/>
          <w:numId w:val="6"/>
        </w:numPr>
        <w:rPr/>
      </w:pPr>
      <w:r>
        <w:rPr/>
        <w:t>Citizens purchases usage quantity at index less $.012/MMBtu, plus 100% of as-billed rate for full 25,000 MMBtu/d of capacity.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7"/>
        </w:numPr>
        <w:tabs>
          <w:tab w:val="left" w:pos="720" w:leader="none"/>
        </w:tabs>
        <w:ind w:hanging="360" w:start="720" w:end="0"/>
        <w:rPr/>
      </w:pPr>
      <w:r>
        <w:rPr/>
        <w:t>El Paso - ENA provides full requirements gas supply services at a gas cost of San Juan index less $.012/MMBtu and manages Citizens’ Full Requirements Capacity on El Paso with a billing determinate of about 35,000 MMBtu/d as an agent, not via capacity release. .  ENA pays all EP invoices and re-bills Citizens as follows.</w:t>
      </w:r>
    </w:p>
    <w:p>
      <w:pPr>
        <w:pStyle w:val="Normal"/>
        <w:numPr>
          <w:ilvl w:val="0"/>
          <w:numId w:val="32"/>
        </w:numPr>
        <w:tabs>
          <w:tab w:val="clear" w:pos="720"/>
          <w:tab w:val="left" w:pos="1080" w:leader="none"/>
        </w:tabs>
        <w:rPr/>
      </w:pPr>
      <w:r>
        <w:rPr/>
        <w:t>Commodity – Citizens pays San Juan index less $.012/MMBtu based on uasge</w:t>
      </w:r>
    </w:p>
    <w:p>
      <w:pPr>
        <w:pStyle w:val="Normal"/>
        <w:numPr>
          <w:ilvl w:val="0"/>
          <w:numId w:val="32"/>
        </w:numPr>
        <w:tabs>
          <w:tab w:val="clear" w:pos="720"/>
          <w:tab w:val="left" w:pos="1080" w:leader="none"/>
        </w:tabs>
        <w:rPr/>
      </w:pPr>
      <w:r>
        <w:rPr/>
        <w:t>EP Transport</w:t>
      </w:r>
    </w:p>
    <w:p>
      <w:pPr>
        <w:pStyle w:val="Normal"/>
        <w:numPr>
          <w:ilvl w:val="0"/>
          <w:numId w:val="20"/>
        </w:numPr>
        <w:rPr/>
      </w:pPr>
      <w:r>
        <w:rPr/>
        <w:t>Citizens pays 100% of demand charge</w:t>
      </w:r>
    </w:p>
    <w:p>
      <w:pPr>
        <w:pStyle w:val="Normal"/>
        <w:numPr>
          <w:ilvl w:val="0"/>
          <w:numId w:val="20"/>
        </w:numPr>
        <w:rPr/>
      </w:pPr>
      <w:r>
        <w:rPr/>
        <w:t>ENA pays commodity rate for deliveries.  Citizens pays commodity rate for usage.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5"/>
        </w:numPr>
        <w:tabs>
          <w:tab w:val="clear" w:pos="720"/>
          <w:tab w:val="left" w:pos="360" w:leader="none"/>
        </w:tabs>
        <w:rPr/>
      </w:pPr>
      <w:r>
        <w:rPr/>
        <w:t>Possible Griffith Structure</w:t>
      </w:r>
    </w:p>
    <w:p>
      <w:pPr>
        <w:pStyle w:val="Normal"/>
        <w:numPr>
          <w:ilvl w:val="0"/>
          <w:numId w:val="24"/>
        </w:numPr>
        <w:rPr/>
      </w:pPr>
      <w:r>
        <w:rPr/>
        <w:t>TW</w:t>
      </w:r>
    </w:p>
    <w:p>
      <w:pPr>
        <w:pStyle w:val="Normal"/>
        <w:numPr>
          <w:ilvl w:val="0"/>
          <w:numId w:val="5"/>
        </w:numPr>
        <w:rPr/>
      </w:pPr>
      <w:r>
        <w:rPr/>
        <w:t>ENA Value Added</w:t>
      </w:r>
    </w:p>
    <w:p>
      <w:pPr>
        <w:pStyle w:val="Normal"/>
        <w:numPr>
          <w:ilvl w:val="0"/>
          <w:numId w:val="18"/>
        </w:numPr>
        <w:rPr/>
      </w:pPr>
      <w:r>
        <w:rPr/>
        <w:t>Gas Supply in San Juan</w:t>
      </w:r>
    </w:p>
    <w:p>
      <w:pPr>
        <w:pStyle w:val="Normal"/>
        <w:numPr>
          <w:ilvl w:val="0"/>
          <w:numId w:val="18"/>
        </w:numPr>
        <w:rPr/>
      </w:pPr>
      <w:r>
        <w:rPr/>
        <w:t>San Juan Lateral Capacity is within control of EPMI under existing arrangement</w:t>
      </w:r>
    </w:p>
    <w:p>
      <w:pPr>
        <w:pStyle w:val="Normal"/>
        <w:numPr>
          <w:ilvl w:val="0"/>
          <w:numId w:val="18"/>
        </w:numPr>
        <w:rPr/>
      </w:pPr>
      <w:r>
        <w:rPr/>
        <w:t>ENA gives up flexibility if “excess” goes to Griffith.</w:t>
      </w:r>
    </w:p>
    <w:p>
      <w:pPr>
        <w:pStyle w:val="Normal"/>
        <w:numPr>
          <w:ilvl w:val="0"/>
          <w:numId w:val="5"/>
        </w:numPr>
        <w:rPr/>
      </w:pPr>
      <w:r>
        <w:rPr/>
        <w:t>Citizens Value Added</w:t>
      </w:r>
    </w:p>
    <w:p>
      <w:pPr>
        <w:pStyle w:val="Normal"/>
        <w:numPr>
          <w:ilvl w:val="0"/>
          <w:numId w:val="15"/>
        </w:numPr>
        <w:rPr/>
      </w:pPr>
      <w:r>
        <w:rPr/>
        <w:t>Excess Mainline Capacity is within control of Citizens under existing agreement</w:t>
      </w:r>
    </w:p>
    <w:p>
      <w:pPr>
        <w:pStyle w:val="Normal"/>
        <w:numPr>
          <w:ilvl w:val="0"/>
          <w:numId w:val="15"/>
        </w:numPr>
        <w:rPr/>
      </w:pPr>
      <w:r>
        <w:rPr/>
        <w:t>Citizens can increase TW usage (moving it to EP) to reduce ability of ENA to use TW capacity for Griffith.</w:t>
      </w:r>
    </w:p>
    <w:p>
      <w:pPr>
        <w:pStyle w:val="Normal"/>
        <w:numPr>
          <w:ilvl w:val="0"/>
          <w:numId w:val="15"/>
        </w:numPr>
        <w:rPr/>
      </w:pPr>
      <w:r>
        <w:rPr/>
        <w:t>Citizens has risk that capacity won’t be available later</w:t>
      </w:r>
    </w:p>
    <w:p>
      <w:pPr>
        <w:pStyle w:val="Normal"/>
        <w:numPr>
          <w:ilvl w:val="0"/>
          <w:numId w:val="5"/>
        </w:numPr>
        <w:rPr/>
      </w:pPr>
      <w:r>
        <w:rPr/>
        <w:t>TW Value Added</w:t>
      </w:r>
    </w:p>
    <w:p>
      <w:pPr>
        <w:pStyle w:val="Normal"/>
        <w:numPr>
          <w:ilvl w:val="0"/>
          <w:numId w:val="19"/>
        </w:numPr>
        <w:rPr/>
      </w:pPr>
      <w:r>
        <w:rPr/>
        <w:t>TW can provide operator services for Griffith Header</w:t>
      </w:r>
    </w:p>
    <w:p>
      <w:pPr>
        <w:pStyle w:val="Normal"/>
        <w:numPr>
          <w:ilvl w:val="0"/>
          <w:numId w:val="19"/>
        </w:numPr>
        <w:rPr/>
      </w:pPr>
      <w:r>
        <w:rPr/>
        <w:t xml:space="preserve">TW can change the Primary Delivery Point to Griffith </w:t>
      </w:r>
    </w:p>
    <w:p>
      <w:pPr>
        <w:pStyle w:val="Normal"/>
        <w:numPr>
          <w:ilvl w:val="0"/>
          <w:numId w:val="19"/>
        </w:numPr>
        <w:rPr/>
      </w:pPr>
      <w:r>
        <w:rPr/>
        <w:t>TW has indicated a willingness to allow a temporary movement of primary deliver for a portion of TW capacity to Griffith at no fee.  Can we give them some of this money to encourage the operator services deal?</w:t>
      </w:r>
    </w:p>
    <w:p>
      <w:pPr>
        <w:pStyle w:val="Normal"/>
        <w:numPr>
          <w:ilvl w:val="0"/>
          <w:numId w:val="5"/>
        </w:numPr>
        <w:rPr/>
      </w:pPr>
      <w:r>
        <w:rPr/>
        <w:t>Griffith Value – Low delivered gas cost</w:t>
      </w:r>
    </w:p>
    <w:p>
      <w:pPr>
        <w:pStyle w:val="Normal"/>
        <w:numPr>
          <w:ilvl w:val="0"/>
          <w:numId w:val="5"/>
        </w:numPr>
        <w:rPr/>
      </w:pPr>
      <w:r>
        <w:rPr/>
        <w:t>Proposed Structure</w:t>
      </w:r>
    </w:p>
    <w:p>
      <w:pPr>
        <w:pStyle w:val="Normal"/>
        <w:numPr>
          <w:ilvl w:val="0"/>
          <w:numId w:val="10"/>
        </w:numPr>
        <w:rPr/>
      </w:pPr>
      <w:r>
        <w:rPr/>
        <w:t>Term:  May – October 2001</w:t>
      </w:r>
    </w:p>
    <w:p>
      <w:pPr>
        <w:pStyle w:val="Normal"/>
        <w:numPr>
          <w:ilvl w:val="0"/>
          <w:numId w:val="10"/>
        </w:numPr>
        <w:rPr/>
      </w:pPr>
      <w:r>
        <w:rPr/>
        <w:t>Quantity:  15,000 MMBtu/d +/- (see historical usage figures)</w:t>
      </w:r>
    </w:p>
    <w:p>
      <w:pPr>
        <w:pStyle w:val="Normal"/>
        <w:numPr>
          <w:ilvl w:val="0"/>
          <w:numId w:val="10"/>
        </w:numPr>
        <w:rPr/>
      </w:pPr>
      <w:r>
        <w:rPr/>
        <w:t>Citizens change primary delivery point to Griffith for this quantity</w:t>
      </w:r>
    </w:p>
    <w:p>
      <w:pPr>
        <w:pStyle w:val="Normal"/>
        <w:numPr>
          <w:ilvl w:val="0"/>
          <w:numId w:val="10"/>
        </w:numPr>
        <w:rPr/>
      </w:pPr>
      <w:r>
        <w:rPr/>
        <w:t>Concept:  Split Profit of Mainline transport 1/3 each between ENA, TW, Citizens</w:t>
      </w:r>
    </w:p>
    <w:p>
      <w:pPr>
        <w:pStyle w:val="Normal"/>
        <w:numPr>
          <w:ilvl w:val="0"/>
          <w:numId w:val="10"/>
        </w:numPr>
        <w:rPr/>
      </w:pPr>
      <w:r>
        <w:rPr/>
        <w:t xml:space="preserve">Griffith buys gas from Citizens, Scheduled by ENA </w:t>
      </w:r>
    </w:p>
    <w:p>
      <w:pPr>
        <w:pStyle w:val="Normal"/>
        <w:numPr>
          <w:ilvl w:val="0"/>
          <w:numId w:val="21"/>
        </w:numPr>
        <w:rPr/>
      </w:pPr>
      <w:r>
        <w:rPr/>
        <w:t>Two Price Options:  Indexed and Fixed</w:t>
      </w:r>
    </w:p>
    <w:p>
      <w:pPr>
        <w:pStyle w:val="Normal"/>
        <w:numPr>
          <w:ilvl w:val="0"/>
          <w:numId w:val="31"/>
        </w:numPr>
        <w:rPr/>
      </w:pPr>
      <w:r>
        <w:rPr/>
        <w:t>Indexed NGI SoCal less discount of $.10/MMBtu (or something in this range)</w:t>
      </w:r>
    </w:p>
    <w:p>
      <w:pPr>
        <w:pStyle w:val="Normal"/>
        <w:numPr>
          <w:ilvl w:val="0"/>
          <w:numId w:val="26"/>
        </w:numPr>
        <w:rPr/>
      </w:pPr>
      <w:r>
        <w:rPr/>
        <w:t>EPMI can “fix” spread to lock-in amount to Citizens/TW</w:t>
      </w:r>
    </w:p>
    <w:p>
      <w:pPr>
        <w:pStyle w:val="Normal"/>
        <w:numPr>
          <w:ilvl w:val="0"/>
          <w:numId w:val="26"/>
        </w:numPr>
        <w:rPr/>
      </w:pPr>
      <w:r>
        <w:rPr/>
        <w:t>EPMI pays Citizens fixed monthly amount</w:t>
      </w:r>
    </w:p>
    <w:p>
      <w:pPr>
        <w:pStyle w:val="Normal"/>
        <w:numPr>
          <w:ilvl w:val="0"/>
          <w:numId w:val="26"/>
        </w:numPr>
        <w:rPr/>
      </w:pPr>
      <w:r>
        <w:rPr/>
        <w:t>Citizens pays TW fixed monthly amount</w:t>
      </w:r>
    </w:p>
    <w:p>
      <w:pPr>
        <w:pStyle w:val="Normal"/>
        <w:numPr>
          <w:ilvl w:val="0"/>
          <w:numId w:val="31"/>
        </w:numPr>
        <w:rPr/>
      </w:pPr>
      <w:r>
        <w:rPr/>
        <w:t xml:space="preserve">Fixed </w:t>
      </w:r>
    </w:p>
    <w:p>
      <w:pPr>
        <w:pStyle w:val="Normal"/>
        <w:numPr>
          <w:ilvl w:val="0"/>
          <w:numId w:val="23"/>
        </w:numPr>
        <w:rPr/>
      </w:pPr>
      <w:r>
        <w:rPr/>
        <w:t>EPMI provides fixed quote at Thoreau</w:t>
      </w:r>
    </w:p>
    <w:p>
      <w:pPr>
        <w:pStyle w:val="Normal"/>
        <w:numPr>
          <w:ilvl w:val="0"/>
          <w:numId w:val="23"/>
        </w:numPr>
        <w:rPr/>
      </w:pPr>
      <w:r>
        <w:rPr/>
        <w:t>Citizens adds transport value</w:t>
      </w:r>
    </w:p>
    <w:p>
      <w:pPr>
        <w:pStyle w:val="Normal"/>
        <w:numPr>
          <w:ilvl w:val="0"/>
          <w:numId w:val="23"/>
        </w:numPr>
        <w:rPr/>
      </w:pPr>
      <w:r>
        <w:rPr/>
        <w:t>Citizens pays TW a monthly fee</w:t>
      </w:r>
    </w:p>
    <w:p>
      <w:pPr>
        <w:pStyle w:val="Normal"/>
        <w:numPr>
          <w:ilvl w:val="0"/>
          <w:numId w:val="21"/>
        </w:numPr>
        <w:rPr/>
      </w:pPr>
      <w:r>
        <w:rPr/>
        <w:t>Quantity</w:t>
      </w:r>
    </w:p>
    <w:p>
      <w:pPr>
        <w:pStyle w:val="Normal"/>
        <w:numPr>
          <w:ilvl w:val="0"/>
          <w:numId w:val="17"/>
        </w:numPr>
        <w:rPr/>
      </w:pPr>
      <w:r>
        <w:rPr/>
        <w:t>Focus on a fixed quantity/day with no take flexibility</w:t>
      </w:r>
    </w:p>
    <w:p>
      <w:pPr>
        <w:pStyle w:val="Normal"/>
        <w:numPr>
          <w:ilvl w:val="0"/>
          <w:numId w:val="17"/>
        </w:numPr>
        <w:rPr/>
      </w:pPr>
      <w:r>
        <w:rPr/>
        <w:t>Give them a price that encourages a base load product</w:t>
      </w:r>
    </w:p>
    <w:p>
      <w:pPr>
        <w:pStyle w:val="Normal"/>
        <w:numPr>
          <w:ilvl w:val="0"/>
          <w:numId w:val="21"/>
        </w:numPr>
        <w:rPr/>
      </w:pPr>
      <w:r>
        <w:rPr/>
        <w:t>Current Thoreau/SoCal Spreads</w:t>
      </w:r>
    </w:p>
    <w:p>
      <w:pPr>
        <w:pStyle w:val="Normal"/>
        <w:numPr>
          <w:ilvl w:val="0"/>
          <w:numId w:val="21"/>
        </w:numPr>
        <w:rPr/>
      </w:pPr>
      <w:r>
        <w:rPr/>
        <w:t>Possible Split of Value</w:t>
      </w:r>
    </w:p>
    <w:p>
      <w:pPr>
        <w:pStyle w:val="Normal"/>
        <w:numPr>
          <w:ilvl w:val="0"/>
          <w:numId w:val="24"/>
        </w:numPr>
        <w:rPr/>
      </w:pPr>
      <w:r>
        <w:rPr/>
        <w:t>EP</w:t>
      </w:r>
    </w:p>
    <w:p>
      <w:pPr>
        <w:pStyle w:val="Normal"/>
        <w:numPr>
          <w:ilvl w:val="0"/>
          <w:numId w:val="14"/>
        </w:numPr>
        <w:rPr/>
      </w:pPr>
      <w:r>
        <w:rPr/>
        <w:t>ENA Value Added</w:t>
      </w:r>
    </w:p>
    <w:p>
      <w:pPr>
        <w:pStyle w:val="Normal"/>
        <w:numPr>
          <w:ilvl w:val="0"/>
          <w:numId w:val="16"/>
        </w:numPr>
        <w:rPr/>
      </w:pPr>
      <w:r>
        <w:rPr/>
        <w:t>Gas Supply in San Juan</w:t>
      </w:r>
    </w:p>
    <w:p>
      <w:pPr>
        <w:pStyle w:val="Normal"/>
        <w:numPr>
          <w:ilvl w:val="0"/>
          <w:numId w:val="16"/>
        </w:numPr>
        <w:rPr/>
      </w:pPr>
      <w:r>
        <w:rPr/>
        <w:t>ENA gives up flexibility if “excess” goes to Griffith.</w:t>
      </w:r>
    </w:p>
    <w:p>
      <w:pPr>
        <w:pStyle w:val="Normal"/>
        <w:numPr>
          <w:ilvl w:val="0"/>
          <w:numId w:val="14"/>
        </w:numPr>
        <w:rPr/>
      </w:pPr>
      <w:r>
        <w:rPr/>
        <w:t>Citizens Value Added</w:t>
      </w:r>
    </w:p>
    <w:p>
      <w:pPr>
        <w:pStyle w:val="Normal"/>
        <w:numPr>
          <w:ilvl w:val="0"/>
          <w:numId w:val="12"/>
        </w:numPr>
        <w:rPr/>
      </w:pPr>
      <w:r>
        <w:rPr/>
        <w:t>Excess Mainline Capacity is within control of Citizens under existing agreement</w:t>
      </w:r>
    </w:p>
    <w:p>
      <w:pPr>
        <w:pStyle w:val="Normal"/>
        <w:numPr>
          <w:ilvl w:val="0"/>
          <w:numId w:val="15"/>
        </w:numPr>
        <w:rPr/>
      </w:pPr>
      <w:r>
        <w:rPr/>
        <w:t>Citizens can increase TW usage (moving it to EP) to reduce ability of ENA to use TW capacity for Griffith.</w:t>
      </w:r>
    </w:p>
    <w:p>
      <w:pPr>
        <w:pStyle w:val="Normal"/>
        <w:numPr>
          <w:ilvl w:val="0"/>
          <w:numId w:val="14"/>
        </w:numPr>
        <w:rPr/>
      </w:pPr>
      <w:r>
        <w:rPr/>
        <w:t>TW Value Added</w:t>
      </w:r>
    </w:p>
    <w:p>
      <w:pPr>
        <w:pStyle w:val="Normal"/>
        <w:numPr>
          <w:ilvl w:val="0"/>
          <w:numId w:val="8"/>
        </w:numPr>
        <w:rPr/>
      </w:pPr>
      <w:r>
        <w:rPr/>
        <w:t>TW can provide operator services for Griffith Header</w:t>
      </w:r>
    </w:p>
    <w:p>
      <w:pPr>
        <w:pStyle w:val="Normal"/>
        <w:numPr>
          <w:ilvl w:val="0"/>
          <w:numId w:val="8"/>
        </w:numPr>
        <w:rPr/>
      </w:pPr>
      <w:r>
        <w:rPr/>
        <w:t xml:space="preserve">TW can change the Primary Delivery Point to Griffith </w:t>
      </w:r>
    </w:p>
    <w:p>
      <w:pPr>
        <w:pStyle w:val="Normal"/>
        <w:numPr>
          <w:ilvl w:val="0"/>
          <w:numId w:val="8"/>
        </w:numPr>
        <w:rPr/>
      </w:pPr>
      <w:r>
        <w:rPr/>
        <w:t>TW has indicated a willingness to allow a temporary movement of primary deliver for a portion of TW capacity to Griffith at no fee.  Can we give them some of this money to encourage the operator services deal?</w:t>
      </w:r>
    </w:p>
    <w:p>
      <w:pPr>
        <w:pStyle w:val="Normal"/>
        <w:numPr>
          <w:ilvl w:val="0"/>
          <w:numId w:val="14"/>
        </w:numPr>
        <w:rPr/>
      </w:pPr>
      <w:r>
        <w:rPr/>
        <w:t>Griffith Value – Low delivered gas cost</w:t>
      </w:r>
    </w:p>
    <w:p>
      <w:pPr>
        <w:pStyle w:val="Normal"/>
        <w:numPr>
          <w:ilvl w:val="0"/>
          <w:numId w:val="14"/>
        </w:numPr>
        <w:rPr/>
      </w:pPr>
      <w:r>
        <w:rPr/>
        <w:t>Proposed Structure</w:t>
      </w:r>
    </w:p>
    <w:p>
      <w:pPr>
        <w:pStyle w:val="Normal"/>
        <w:numPr>
          <w:ilvl w:val="0"/>
          <w:numId w:val="22"/>
        </w:numPr>
        <w:rPr/>
      </w:pPr>
      <w:r>
        <w:rPr/>
        <w:t>Term:  May – October 2001</w:t>
      </w:r>
    </w:p>
    <w:p>
      <w:pPr>
        <w:pStyle w:val="Normal"/>
        <w:numPr>
          <w:ilvl w:val="0"/>
          <w:numId w:val="22"/>
        </w:numPr>
        <w:rPr/>
      </w:pPr>
      <w:r>
        <w:rPr/>
        <w:t>Quantity:  20,000 MMBtu/d +/- (see historical usage figures)</w:t>
      </w:r>
    </w:p>
    <w:p>
      <w:pPr>
        <w:pStyle w:val="Normal"/>
        <w:numPr>
          <w:ilvl w:val="0"/>
          <w:numId w:val="22"/>
        </w:numPr>
        <w:rPr/>
      </w:pPr>
      <w:r>
        <w:rPr/>
        <w:t>Citizens change primary delivery point to Griffith for this quantity</w:t>
      </w:r>
    </w:p>
    <w:p>
      <w:pPr>
        <w:pStyle w:val="Normal"/>
        <w:numPr>
          <w:ilvl w:val="0"/>
          <w:numId w:val="22"/>
        </w:numPr>
        <w:rPr/>
      </w:pPr>
      <w:r>
        <w:rPr/>
        <w:t>Concept:  Split Profit of Mainline transport 2/3 Citizens 1/3 to ENA</w:t>
      </w:r>
    </w:p>
    <w:p>
      <w:pPr>
        <w:pStyle w:val="Normal"/>
        <w:numPr>
          <w:ilvl w:val="0"/>
          <w:numId w:val="22"/>
        </w:numPr>
        <w:rPr/>
      </w:pPr>
      <w:r>
        <w:rPr/>
        <w:t xml:space="preserve">Griffith buys gas from Citizens, Scheduled by ENA </w:t>
      </w:r>
    </w:p>
    <w:p>
      <w:pPr>
        <w:pStyle w:val="Normal"/>
        <w:numPr>
          <w:ilvl w:val="0"/>
          <w:numId w:val="2"/>
        </w:numPr>
        <w:rPr/>
      </w:pPr>
      <w:r>
        <w:rPr/>
        <w:t>Two Price Options:  Indexed and Fixed</w:t>
      </w:r>
    </w:p>
    <w:p>
      <w:pPr>
        <w:pStyle w:val="Normal"/>
        <w:numPr>
          <w:ilvl w:val="0"/>
          <w:numId w:val="29"/>
        </w:numPr>
        <w:rPr/>
      </w:pPr>
      <w:r>
        <w:rPr/>
        <w:t>Indexed NGI SoCal less discount of $.10/MMBtu (or something in this range)</w:t>
      </w:r>
    </w:p>
    <w:p>
      <w:pPr>
        <w:pStyle w:val="Normal"/>
        <w:numPr>
          <w:ilvl w:val="0"/>
          <w:numId w:val="1"/>
        </w:numPr>
        <w:rPr/>
      </w:pPr>
      <w:r>
        <w:rPr/>
        <w:t>EPMI can “fix” spread to lock-in amount to Citizens/TW</w:t>
      </w:r>
    </w:p>
    <w:p>
      <w:pPr>
        <w:pStyle w:val="Normal"/>
        <w:numPr>
          <w:ilvl w:val="0"/>
          <w:numId w:val="1"/>
        </w:numPr>
        <w:rPr/>
      </w:pPr>
      <w:r>
        <w:rPr/>
        <w:t>EPMI pays Citizens fixed monthly amount</w:t>
      </w:r>
    </w:p>
    <w:p>
      <w:pPr>
        <w:pStyle w:val="Normal"/>
        <w:numPr>
          <w:ilvl w:val="0"/>
          <w:numId w:val="1"/>
        </w:numPr>
        <w:rPr/>
      </w:pPr>
      <w:r>
        <w:rPr/>
        <w:t>Citizens pays TW fixed monthly amount</w:t>
      </w:r>
    </w:p>
    <w:p>
      <w:pPr>
        <w:pStyle w:val="Normal"/>
        <w:ind w:start="1800" w:end="0"/>
        <w:rPr/>
      </w:pPr>
      <w:r>
        <w:rPr/>
        <w:t>b.</w:t>
        <w:tab/>
        <w:t xml:space="preserve">Fixed </w:t>
      </w:r>
    </w:p>
    <w:p>
      <w:pPr>
        <w:pStyle w:val="Normal"/>
        <w:numPr>
          <w:ilvl w:val="0"/>
          <w:numId w:val="4"/>
        </w:numPr>
        <w:rPr/>
      </w:pPr>
      <w:r>
        <w:rPr/>
        <w:t>EPMI provides fixed quote San Juan</w:t>
      </w:r>
    </w:p>
    <w:p>
      <w:pPr>
        <w:pStyle w:val="Normal"/>
        <w:numPr>
          <w:ilvl w:val="0"/>
          <w:numId w:val="4"/>
        </w:numPr>
        <w:rPr/>
      </w:pPr>
      <w:r>
        <w:rPr/>
        <w:t>Citizens adds transport value</w:t>
      </w:r>
    </w:p>
    <w:p>
      <w:pPr>
        <w:pStyle w:val="Normal"/>
        <w:numPr>
          <w:ilvl w:val="0"/>
          <w:numId w:val="4"/>
        </w:numPr>
        <w:rPr/>
      </w:pPr>
      <w:r>
        <w:rPr/>
        <w:t>Citizens pays TW a monthly fee</w:t>
      </w:r>
    </w:p>
    <w:p>
      <w:pPr>
        <w:pStyle w:val="Normal"/>
        <w:numPr>
          <w:ilvl w:val="0"/>
          <w:numId w:val="2"/>
        </w:numPr>
        <w:rPr/>
      </w:pPr>
      <w:r>
        <w:rPr/>
        <w:t>Quantity</w:t>
      </w:r>
    </w:p>
    <w:p>
      <w:pPr>
        <w:pStyle w:val="Normal"/>
        <w:numPr>
          <w:ilvl w:val="0"/>
          <w:numId w:val="30"/>
        </w:numPr>
        <w:rPr/>
      </w:pPr>
      <w:r>
        <w:rPr/>
        <w:t>Focus on a fixed quantity/day with no take flexibility</w:t>
      </w:r>
    </w:p>
    <w:p>
      <w:pPr>
        <w:pStyle w:val="Normal"/>
        <w:numPr>
          <w:ilvl w:val="0"/>
          <w:numId w:val="30"/>
        </w:numPr>
        <w:rPr/>
      </w:pPr>
      <w:r>
        <w:rPr/>
        <w:t>Give them a price that encourages a base load product</w:t>
      </w:r>
    </w:p>
    <w:p>
      <w:pPr>
        <w:pStyle w:val="Normal"/>
        <w:numPr>
          <w:ilvl w:val="0"/>
          <w:numId w:val="2"/>
        </w:numPr>
        <w:rPr/>
      </w:pPr>
      <w:r>
        <w:rPr/>
        <w:t>Current San Juan/SoCal Spreads</w:t>
      </w:r>
    </w:p>
    <w:p>
      <w:pPr>
        <w:pStyle w:val="Normal"/>
        <w:numPr>
          <w:ilvl w:val="0"/>
          <w:numId w:val="2"/>
        </w:numPr>
        <w:rPr/>
      </w:pPr>
      <w:r>
        <w:rPr/>
        <w:t>Possible Split of Value</w:t>
        <w:tab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3"/>
        </w:numPr>
        <w:rPr/>
      </w:pPr>
      <w:r>
        <w:rPr/>
        <w:t>III.</w:t>
        <w:tab/>
        <w:t>Griffith Header Operator Deal</w:t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720" w:start="1080" w:end="0"/>
        <w:rPr/>
      </w:pPr>
      <w:r>
        <w:rPr/>
        <w:t>A.</w:t>
        <w:tab/>
        <w:t>Current Status of Negotiations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440" w:leader="none"/>
        </w:tabs>
        <w:ind w:hanging="1080" w:start="2160" w:end="0"/>
        <w:rPr/>
      </w:pPr>
      <w:r>
        <w:rPr/>
        <w:t>Transwestern wants to do the deal</w:t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1440" w:leader="none"/>
        </w:tabs>
        <w:ind w:hanging="1080" w:start="2160" w:end="0"/>
        <w:rPr/>
      </w:pPr>
      <w:r>
        <w:rPr/>
        <w:t>Concerned about limiting liability</w:t>
      </w:r>
    </w:p>
    <w:p>
      <w:pPr>
        <w:pStyle w:val="Normal"/>
        <w:ind w:hanging="360" w:start="1080" w:end="0"/>
        <w:rPr/>
      </w:pPr>
      <w:r>
        <w:rPr/>
        <w:t>B.</w:t>
        <w:tab/>
        <w:t>New Deal</w:t>
      </w:r>
    </w:p>
    <w:p>
      <w:pPr>
        <w:pStyle w:val="Normal"/>
        <w:numPr>
          <w:ilvl w:val="0"/>
          <w:numId w:val="13"/>
        </w:numPr>
        <w:rPr/>
      </w:pPr>
      <w:r>
        <w:rPr/>
        <w:t>Limit Term to Apr – Oct</w:t>
      </w:r>
    </w:p>
    <w:p>
      <w:pPr>
        <w:pStyle w:val="Normal"/>
        <w:numPr>
          <w:ilvl w:val="0"/>
          <w:numId w:val="7"/>
        </w:numPr>
        <w:rPr/>
      </w:pPr>
      <w:r>
        <w:rPr/>
        <w:t>Addresses Citiznes’ short term needs to do something</w:t>
      </w:r>
    </w:p>
    <w:p>
      <w:pPr>
        <w:pStyle w:val="Normal"/>
        <w:numPr>
          <w:ilvl w:val="0"/>
          <w:numId w:val="7"/>
        </w:numPr>
        <w:rPr/>
      </w:pPr>
      <w:r>
        <w:rPr/>
        <w:t>Give Parties a chance to learn about how this deal would work before making long term commitment</w:t>
      </w:r>
    </w:p>
    <w:p>
      <w:pPr>
        <w:pStyle w:val="Normal"/>
        <w:ind w:hanging="360" w:start="1440" w:end="0"/>
        <w:rPr/>
      </w:pPr>
      <w:r>
        <w:rPr/>
        <w:t>2.</w:t>
        <w:tab/>
        <w:t>Increase Limit of Liability to total fees collected including transportation fees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2520"/>
        </w:tabs>
        <w:ind w:start="252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3">
    <w:lvl w:ilvl="0">
      <w:start w:val="3"/>
      <w:numFmt w:val="upperRoman"/>
      <w:lvlText w:val=""/>
      <w:lvlJc w:val="start"/>
      <w:pPr>
        <w:tabs>
          <w:tab w:val="num" w:pos="360"/>
        </w:tabs>
        <w:ind w:start="360" w:hanging="36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520"/>
        </w:tabs>
        <w:ind w:start="2520" w:hanging="360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7">
    <w:lvl w:ilvl="0">
      <w:start w:val="1"/>
      <w:numFmt w:val="lowerLetter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8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2160" w:hanging="360"/>
      </w:pPr>
      <w:rPr/>
    </w:lvl>
  </w:abstractNum>
  <w:abstractNum w:abstractNumId="10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11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12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1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</w:abstractNum>
  <w:abstractNum w:abstractNumId="15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16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17">
    <w:lvl w:ilvl="0">
      <w:start w:val="1"/>
      <w:numFmt w:val="lowerLetter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18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19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20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2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  <w:rPr/>
    </w:lvl>
  </w:abstractNum>
  <w:abstractNum w:abstractNumId="22">
    <w:lvl w:ilvl="0">
      <w:start w:val="1"/>
      <w:numFmt w:val="lowerLetter"/>
      <w:lvlText w:val="%1."/>
      <w:lvlJc w:val="start"/>
      <w:pPr>
        <w:tabs>
          <w:tab w:val="num" w:pos="1440"/>
        </w:tabs>
        <w:ind w:start="1440" w:hanging="360"/>
      </w:pPr>
      <w:rPr/>
    </w:lvl>
  </w:abstractNum>
  <w:abstractNum w:abstractNumId="23">
    <w:lvl w:ilvl="0">
      <w:start w:val="1"/>
      <w:numFmt w:val="decimal"/>
      <w:lvlText w:val="%1"/>
      <w:lvlJc w:val="start"/>
      <w:pPr>
        <w:tabs>
          <w:tab w:val="num" w:pos="2520"/>
        </w:tabs>
        <w:ind w:start="2520" w:hanging="360"/>
      </w:pPr>
      <w:rPr/>
    </w:lvl>
  </w:abstractNum>
  <w:abstractNum w:abstractNumId="24">
    <w:lvl w:ilvl="0">
      <w:start w:val="1"/>
      <w:numFmt w:val="upperLetter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5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26">
    <w:lvl w:ilvl="0">
      <w:start w:val="1"/>
      <w:numFmt w:val="decimal"/>
      <w:lvlText w:val="%1."/>
      <w:lvlJc w:val="start"/>
      <w:pPr>
        <w:tabs>
          <w:tab w:val="num" w:pos="2520"/>
        </w:tabs>
        <w:ind w:start="2520" w:hanging="360"/>
      </w:pPr>
      <w:rPr/>
    </w:lvl>
  </w:abstractNum>
  <w:abstractNum w:abstractNumId="27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8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9">
    <w:lvl w:ilvl="0">
      <w:start w:val="1"/>
      <w:numFmt w:val="lowerLetter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30">
    <w:lvl w:ilvl="0">
      <w:start w:val="1"/>
      <w:numFmt w:val="lowerLetter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31">
    <w:lvl w:ilvl="0">
      <w:start w:val="1"/>
      <w:numFmt w:val="lowerLetter"/>
      <w:lvlText w:val="%1."/>
      <w:lvlJc w:val="start"/>
      <w:pPr>
        <w:tabs>
          <w:tab w:val="num" w:pos="2160"/>
        </w:tabs>
        <w:ind w:start="2160" w:hanging="360"/>
      </w:pPr>
      <w:rPr/>
    </w:lvl>
  </w:abstractNum>
  <w:abstractNum w:abstractNumId="3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3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2001-03-21T14:31:00Z</dcterms:created>
  <dc:creator>cfoster</dc:creator>
  <dc:description/>
  <dc:language>en-CA</dc:language>
  <cp:lastModifiedBy>cfoster</cp:lastModifiedBy>
  <dcterms:modified xsi:type="dcterms:W3CDTF">2001-03-21T14:48:00Z</dcterms:modified>
  <cp:revision>3</cp:revision>
  <dc:subject/>
  <dc:title>Enron Capital &amp; Trade Resources/Citizens Utilities (Arizona)</dc:title>
</cp:coreProperties>
</file>