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Enron North America/Citizens Utilities (Arizona)</w:t>
      </w:r>
    </w:p>
    <w:p>
      <w:pPr>
        <w:pStyle w:val="Normal"/>
        <w:jc w:val="center"/>
        <w:rPr>
          <w:b/>
        </w:rPr>
      </w:pPr>
      <w:r>
        <w:rPr>
          <w:b/>
        </w:rPr>
        <w:t>Natural Gas Supply Proposal</w:t>
      </w:r>
    </w:p>
    <w:p>
      <w:pPr>
        <w:pStyle w:val="Normal"/>
        <w:jc w:val="center"/>
        <w:rPr>
          <w:b/>
        </w:rPr>
      </w:pPr>
      <w:r>
        <w:rPr>
          <w:b/>
        </w:rPr>
        <w:t>Transwestern Pipeline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Buyer:</w:t>
      </w:r>
      <w:r>
        <w:rPr/>
        <w:tab/>
        <w:t>Citizens Communications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Seller:</w:t>
      </w:r>
      <w:r>
        <w:rPr/>
        <w:tab/>
        <w:t>Enron North America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Term:</w:t>
      </w:r>
      <w:r>
        <w:rPr/>
        <w:tab/>
        <w:t>July 1, 2001 – September 3, 2003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Delivery Point:</w:t>
      </w:r>
      <w:r>
        <w:rPr/>
        <w:tab/>
        <w:t>Griffith Interconnection on Transwestern Pipeline</w:t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b/>
        </w:rPr>
        <w:t>Quantity:</w:t>
        <w:tab/>
      </w:r>
      <w:r>
        <w:rPr/>
        <w:t>The Daily Contract Quantity (DCQ) shall be as follows:</w:t>
      </w:r>
    </w:p>
    <w:p>
      <w:pPr>
        <w:pStyle w:val="Normal"/>
        <w:ind w:hanging="1440" w:start="1440" w:end="0"/>
        <w:rPr>
          <w:b/>
        </w:rPr>
      </w:pPr>
      <w:r>
        <w:rPr>
          <w:b/>
        </w:rPr>
      </w:r>
    </w:p>
    <w:p>
      <w:pPr>
        <w:pStyle w:val="Heading1"/>
        <w:rPr/>
      </w:pPr>
      <w:r>
        <w:rPr/>
        <w:t>Month</w:t>
        <w:tab/>
        <w:tab/>
        <w:tab/>
        <w:t>DCQ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July, 01</w:t>
        <w:tab/>
        <w:tab/>
        <w:tab/>
        <w:t>20,000</w:t>
      </w:r>
    </w:p>
    <w:p>
      <w:pPr>
        <w:pStyle w:val="Normal"/>
        <w:ind w:start="1440" w:end="0"/>
        <w:rPr/>
      </w:pPr>
      <w:r>
        <w:rPr/>
        <w:t>August</w:t>
        <w:tab/>
        <w:tab/>
        <w:tab/>
        <w:t>20,000</w:t>
      </w:r>
    </w:p>
    <w:p>
      <w:pPr>
        <w:pStyle w:val="Normal"/>
        <w:ind w:start="1440" w:end="0"/>
        <w:rPr/>
      </w:pPr>
      <w:r>
        <w:rPr/>
        <w:t>September</w:t>
        <w:tab/>
        <w:tab/>
        <w:t>20,000</w:t>
      </w:r>
    </w:p>
    <w:p>
      <w:pPr>
        <w:pStyle w:val="Normal"/>
        <w:ind w:start="1440" w:end="0"/>
        <w:rPr/>
      </w:pPr>
      <w:r>
        <w:rPr/>
        <w:t>October</w:t>
        <w:tab/>
        <w:tab/>
        <w:tab/>
        <w:t>20,000</w:t>
      </w:r>
    </w:p>
    <w:p>
      <w:pPr>
        <w:pStyle w:val="Normal"/>
        <w:ind w:start="1440" w:end="0"/>
        <w:rPr/>
      </w:pPr>
      <w:r>
        <w:rPr/>
        <w:t>November</w:t>
        <w:tab/>
        <w:tab/>
        <w:t>15,000</w:t>
      </w:r>
    </w:p>
    <w:p>
      <w:pPr>
        <w:pStyle w:val="Normal"/>
        <w:ind w:start="1440" w:end="0"/>
        <w:rPr/>
      </w:pPr>
      <w:r>
        <w:rPr/>
        <w:t>December</w:t>
        <w:tab/>
        <w:tab/>
        <w:t>15,000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January ’02 – Sept, 03</w:t>
        <w:tab/>
        <w:t>15,000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360" w:start="360" w:end="0"/>
        <w:rPr>
          <w:b/>
        </w:rPr>
      </w:pPr>
      <w:r>
        <w:rPr>
          <w:b/>
        </w:rPr>
        <w:t>Price:</w:t>
        <w:tab/>
        <w:tab/>
      </w:r>
    </w:p>
    <w:p>
      <w:pPr>
        <w:pStyle w:val="Normal"/>
        <w:ind w:hanging="360" w:start="360" w:end="0"/>
        <w:rPr>
          <w:b/>
        </w:rPr>
      </w:pPr>
      <w:r>
        <w:rPr>
          <w:b/>
        </w:rPr>
      </w:r>
    </w:p>
    <w:p>
      <w:pPr>
        <w:pStyle w:val="Normal"/>
        <w:ind w:hanging="360" w:start="360" w:end="0"/>
        <w:rPr/>
      </w:pPr>
      <w:r>
        <w:rPr/>
        <w:tab/>
        <w:t>I.</w:t>
        <w:tab/>
        <w:t>Basin Gas Cost:</w:t>
      </w:r>
    </w:p>
    <w:p>
      <w:pPr>
        <w:pStyle w:val="Normal"/>
        <w:numPr>
          <w:ilvl w:val="0"/>
          <w:numId w:val="2"/>
        </w:numPr>
        <w:rPr/>
      </w:pPr>
      <w:r>
        <w:rPr/>
        <w:t>Demand Charge - $.07/MMBtu times the DCQ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Commodity Charge  </w:t>
      </w:r>
    </w:p>
    <w:p>
      <w:pPr>
        <w:pStyle w:val="Normal"/>
        <w:numPr>
          <w:ilvl w:val="0"/>
          <w:numId w:val="4"/>
        </w:numPr>
        <w:rPr/>
      </w:pPr>
      <w:r>
        <w:rPr/>
        <w:t>For all days except Saturdays, Sundays, Mondays and Holidays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For all Gas scheduled before 8:00 a.m. CPT:  </w:t>
      </w:r>
      <w:r>
        <w:rPr>
          <w:u w:val="single"/>
        </w:rPr>
        <w:t>Gas Daily</w:t>
      </w:r>
      <w:r>
        <w:rPr/>
        <w:t xml:space="preserve"> mid-point of the range for San Juan Basin.  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For gas called on between 8:00 a.m. and 8:30 a.m. CPT, </w:t>
      </w:r>
      <w:r>
        <w:rPr>
          <w:u w:val="single"/>
        </w:rPr>
        <w:t>Gas Daily</w:t>
      </w:r>
      <w:r>
        <w:rPr/>
        <w:t xml:space="preserve"> absolute high for San Juan Basin.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For Saturdays, Sundays, Mondays and Holidays </w:t>
      </w:r>
    </w:p>
    <w:p>
      <w:pPr>
        <w:pStyle w:val="Normal"/>
        <w:numPr>
          <w:ilvl w:val="0"/>
          <w:numId w:val="12"/>
        </w:numPr>
        <w:rPr/>
      </w:pPr>
      <w:r>
        <w:rPr/>
        <w:t xml:space="preserve">For all Gas scheduled before 8:00 a.m. CPT, and the quantity scheduled for all three days (or 2 days in the event of a mid-week holiday) is the same:  </w:t>
      </w:r>
      <w:r>
        <w:rPr>
          <w:u w:val="single"/>
        </w:rPr>
        <w:t>Gas Daily</w:t>
      </w:r>
      <w:r>
        <w:rPr/>
        <w:t xml:space="preserve"> mid-point of the range for San Juan Basin.  </w:t>
      </w:r>
    </w:p>
    <w:p>
      <w:pPr>
        <w:pStyle w:val="Normal"/>
        <w:numPr>
          <w:ilvl w:val="0"/>
          <w:numId w:val="12"/>
        </w:numPr>
        <w:rPr/>
      </w:pPr>
      <w:r>
        <w:rPr/>
        <w:t xml:space="preserve">For gas called on between 8:00 a.m. and 8:30 a.m. CPT, and the quantity scheduled for all three days (or 2 days in the event of a mid-week holiday) is the same, </w:t>
      </w:r>
      <w:r>
        <w:rPr>
          <w:u w:val="single"/>
        </w:rPr>
        <w:t>Gas Daily</w:t>
      </w:r>
      <w:r>
        <w:rPr/>
        <w:t xml:space="preserve"> absolute high for San Juan Basin.</w:t>
      </w:r>
    </w:p>
    <w:p>
      <w:pPr>
        <w:pStyle w:val="Normal"/>
        <w:numPr>
          <w:ilvl w:val="0"/>
          <w:numId w:val="12"/>
        </w:numPr>
        <w:rPr/>
      </w:pPr>
      <w:r>
        <w:rPr/>
        <w:t xml:space="preserve">For all Gas scheduled before 8:00 a.m. CPT, and the quantity scheduled for up to one of these days is lower than the other 2 days (other days in the event of a mid-week holiday).  </w:t>
      </w:r>
      <w:r>
        <w:rPr>
          <w:u w:val="single"/>
        </w:rPr>
        <w:t>Gas Daily</w:t>
      </w:r>
      <w:r>
        <w:rPr/>
        <w:t xml:space="preserve"> mid-point of the range for San Juan Basin, plus $.20/MMBtu. </w:t>
      </w:r>
    </w:p>
    <w:p>
      <w:pPr>
        <w:pStyle w:val="Normal"/>
        <w:numPr>
          <w:ilvl w:val="0"/>
          <w:numId w:val="12"/>
        </w:numPr>
        <w:rPr/>
      </w:pPr>
      <w:r>
        <w:rPr/>
        <w:t xml:space="preserve">For all Gas scheduled before 8:00 a.m. CPT, and the quantity scheduled for up to one of these days is lower than the other 2 days (other days in the event of a mid-week holiday).  </w:t>
      </w:r>
      <w:r>
        <w:rPr>
          <w:u w:val="single"/>
        </w:rPr>
        <w:t>Gas Daily</w:t>
      </w:r>
      <w:r>
        <w:rPr/>
        <w:t xml:space="preserve"> mid-point of the range for San Juan Basin, plus $.20/MMBtu. 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/>
      </w:pPr>
      <w:r>
        <w:rPr/>
        <w:t>San Juan Lateral Cost</w:t>
      </w:r>
    </w:p>
    <w:p>
      <w:pPr>
        <w:pStyle w:val="Normal"/>
        <w:numPr>
          <w:ilvl w:val="0"/>
          <w:numId w:val="7"/>
        </w:numPr>
        <w:rPr/>
      </w:pPr>
      <w:r>
        <w:rPr/>
        <w:t>Demand Charge – 100% of the “as-billed” rate, currently $.1031/MMBtu</w:t>
      </w:r>
    </w:p>
    <w:p>
      <w:pPr>
        <w:pStyle w:val="Normal"/>
        <w:numPr>
          <w:ilvl w:val="0"/>
          <w:numId w:val="7"/>
        </w:numPr>
        <w:rPr/>
      </w:pPr>
      <w:r>
        <w:rPr/>
        <w:t>Commodity Charge – 100% of the “as-billed” commodity charge, currently $.0011/MMBtu</w:t>
      </w:r>
    </w:p>
    <w:p>
      <w:pPr>
        <w:pStyle w:val="Normal"/>
        <w:numPr>
          <w:ilvl w:val="0"/>
          <w:numId w:val="7"/>
        </w:numPr>
        <w:rPr/>
      </w:pPr>
      <w:r>
        <w:rPr/>
        <w:t>Fuel Charge – 100% of the “as-billed” fuel charge, currently .25 %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rPr/>
      </w:pPr>
      <w:r>
        <w:rPr/>
        <w:t>Mainline Charge</w:t>
      </w:r>
    </w:p>
    <w:p>
      <w:pPr>
        <w:pStyle w:val="Normal"/>
        <w:numPr>
          <w:ilvl w:val="0"/>
          <w:numId w:val="9"/>
        </w:numPr>
        <w:rPr/>
      </w:pPr>
      <w:r>
        <w:rPr/>
        <w:t>Demand Charge – 100% of the “as-billed” rate, currently $.225/MMBtu</w:t>
      </w:r>
    </w:p>
    <w:p>
      <w:pPr>
        <w:pStyle w:val="Normal"/>
        <w:numPr>
          <w:ilvl w:val="0"/>
          <w:numId w:val="9"/>
        </w:numPr>
        <w:rPr/>
      </w:pPr>
      <w:r>
        <w:rPr/>
        <w:t>Commodity Charge – 100% of the “as-billed” commodity charge, currently $.023/MMBtu</w:t>
      </w:r>
    </w:p>
    <w:p>
      <w:pPr>
        <w:pStyle w:val="Normal"/>
        <w:numPr>
          <w:ilvl w:val="0"/>
          <w:numId w:val="9"/>
        </w:numPr>
        <w:rPr/>
      </w:pPr>
      <w:r>
        <w:rPr/>
        <w:t>Fuel Charge – 100% of the “as-billed” fuel charge, currently 4.5 %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/>
      </w:pPr>
      <w:r>
        <w:rPr/>
        <w:t>Increase in  Limit of Liability for Transwestern Services to $1 million</w:t>
      </w:r>
    </w:p>
    <w:p>
      <w:pPr>
        <w:pStyle w:val="Normal"/>
        <w:numPr>
          <w:ilvl w:val="0"/>
          <w:numId w:val="10"/>
        </w:numPr>
        <w:rPr/>
      </w:pPr>
      <w:r>
        <w:rPr/>
        <w:t>Demand Charge - $12,000/month (about $.02/MMBtu)</w:t>
      </w:r>
    </w:p>
    <w:p>
      <w:pPr>
        <w:pStyle w:val="Normal"/>
        <w:numPr>
          <w:ilvl w:val="0"/>
          <w:numId w:val="10"/>
        </w:numPr>
        <w:rPr/>
      </w:pPr>
      <w:r>
        <w:rPr/>
        <w:t>Variable Charge – None</w:t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5"/>
        </w:numPr>
        <w:rPr>
          <w:b w:val="false"/>
        </w:rPr>
      </w:pPr>
      <w:r>
        <w:rPr>
          <w:b w:val="false"/>
        </w:rPr>
        <w:t>Profit to ENA</w:t>
      </w:r>
    </w:p>
    <w:p>
      <w:pPr>
        <w:pStyle w:val="Normal"/>
        <w:numPr>
          <w:ilvl w:val="0"/>
          <w:numId w:val="11"/>
        </w:numPr>
        <w:rPr/>
      </w:pPr>
      <w:r>
        <w:rPr/>
        <w:t xml:space="preserve">Demand Charge - $.13/MMBtu or some mutually acceptable % of the SoCal/PG&amp;E – San Juan spread </w:t>
      </w:r>
    </w:p>
    <w:p>
      <w:pPr>
        <w:pStyle w:val="Normal"/>
        <w:numPr>
          <w:ilvl w:val="0"/>
          <w:numId w:val="11"/>
        </w:numPr>
        <w:rPr/>
      </w:pPr>
      <w:r>
        <w:rPr/>
        <w:t>Compensation for:</w:t>
      </w:r>
    </w:p>
    <w:p>
      <w:pPr>
        <w:pStyle w:val="Normal"/>
        <w:numPr>
          <w:ilvl w:val="0"/>
          <w:numId w:val="8"/>
        </w:numPr>
        <w:rPr/>
      </w:pPr>
      <w:r>
        <w:rPr/>
        <w:t>Reduction in flexibility in Basin</w:t>
      </w:r>
    </w:p>
    <w:p>
      <w:pPr>
        <w:pStyle w:val="Normal"/>
        <w:numPr>
          <w:ilvl w:val="0"/>
          <w:numId w:val="8"/>
        </w:numPr>
        <w:rPr/>
      </w:pPr>
      <w:r>
        <w:rPr/>
        <w:t>Compensation for forgone use of lateral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rPr/>
      </w:pPr>
      <w:r>
        <w:rPr/>
        <w:t>Sum of Costs</w:t>
      </w:r>
    </w:p>
    <w:p>
      <w:pPr>
        <w:pStyle w:val="Normal"/>
        <w:numPr>
          <w:ilvl w:val="0"/>
          <w:numId w:val="13"/>
        </w:numPr>
        <w:rPr/>
      </w:pPr>
      <w:r>
        <w:rPr/>
        <w:t>Demand Charge - $.42/MMBtu +/-</w:t>
      </w:r>
    </w:p>
    <w:p>
      <w:pPr>
        <w:pStyle w:val="Normal"/>
        <w:numPr>
          <w:ilvl w:val="0"/>
          <w:numId w:val="13"/>
        </w:numPr>
        <w:rPr/>
      </w:pPr>
      <w:r>
        <w:rPr/>
        <w:t>Commodity Charge</w:t>
      </w:r>
    </w:p>
    <w:p>
      <w:pPr>
        <w:pStyle w:val="Normal"/>
        <w:numPr>
          <w:ilvl w:val="0"/>
          <w:numId w:val="3"/>
        </w:numPr>
        <w:rPr/>
      </w:pPr>
      <w:r>
        <w:rPr/>
        <w:t>Gas Daily plus $.035/MMBtu +/-</w:t>
      </w:r>
    </w:p>
    <w:p>
      <w:pPr>
        <w:pStyle w:val="Normal"/>
        <w:numPr>
          <w:ilvl w:val="0"/>
          <w:numId w:val="3"/>
        </w:numPr>
        <w:rPr/>
      </w:pPr>
      <w:r>
        <w:rPr/>
        <w:t>4.75% fuel</w:t>
      </w:r>
    </w:p>
    <w:p>
      <w:pPr>
        <w:pStyle w:val="Normal"/>
        <w:numPr>
          <w:ilvl w:val="0"/>
          <w:numId w:val="13"/>
        </w:numPr>
        <w:rPr/>
      </w:pPr>
      <w:r>
        <w:rPr/>
        <w:t>Delivered to Citizens at about San Juan index plus $.72/MMBtu all in</w:t>
      </w:r>
    </w:p>
    <w:p>
      <w:pPr>
        <w:pStyle w:val="Normal"/>
        <w:rPr/>
      </w:pPr>
      <w:r>
        <w:rPr/>
      </w:r>
    </w:p>
    <w:p>
      <w:pPr>
        <w:pStyle w:val="Normal"/>
        <w:ind w:hanging="360" w:start="720" w:end="0"/>
        <w:rPr/>
      </w:pPr>
      <w:r>
        <w:rPr/>
        <w:t>VII.</w:t>
        <w:tab/>
        <w:t>Citizens Price to Griffith</w:t>
        <w:tab/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720" w:start="1440" w:end="0"/>
        <w:rPr/>
      </w:pPr>
      <w:r>
        <w:rPr/>
        <w:t>Enron Costs - $.72</w:t>
      </w:r>
    </w:p>
    <w:p>
      <w:pPr>
        <w:pStyle w:val="Normal"/>
        <w:ind w:hanging="360" w:start="1080" w:end="0"/>
        <w:rPr/>
      </w:pPr>
      <w:r>
        <w:rPr/>
        <w:t>B.</w:t>
        <w:tab/>
        <w:t>Profit to Citizens - $3.00 - $4.00/MMBtu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360" w:start="360" w:end="0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5">
    <w:lvl w:ilvl="0">
      <w:start w:val="2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9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10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11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12">
    <w:lvl w:ilvl="0">
      <w:start w:val="1"/>
      <w:numFmt w:val="low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13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14">
    <w:lvl w:ilvl="0">
      <w:start w:val="1"/>
      <w:numFmt w:val="upperLetter"/>
      <w:lvlText w:val="%1."/>
      <w:lvlJc w:val="start"/>
      <w:pPr>
        <w:tabs>
          <w:tab w:val="num" w:pos="720"/>
        </w:tabs>
        <w:ind w:start="14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5"/>
      </w:numPr>
      <w:tabs>
        <w:tab w:val="left" w:pos="720" w:leader="none"/>
      </w:tabs>
      <w:ind w:hanging="360" w:start="720" w:end="0"/>
      <w:outlineLvl w:val="1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WW8Num78z0">
    <w:name w:val="WW8Num78z0"/>
    <w:qFormat/>
    <w:rPr/>
  </w:style>
  <w:style w:type="character" w:styleId="WW8Num79z0">
    <w:name w:val="WW8Num79z0"/>
    <w:qFormat/>
    <w:rPr/>
  </w:style>
  <w:style w:type="character" w:styleId="WW8Num80z0">
    <w:name w:val="WW8Num80z0"/>
    <w:qFormat/>
    <w:rPr/>
  </w:style>
  <w:style w:type="character" w:styleId="WW8Num81z0">
    <w:name w:val="WW8Num81z0"/>
    <w:qFormat/>
    <w:rPr/>
  </w:style>
  <w:style w:type="character" w:styleId="WW8Num82z0">
    <w:name w:val="WW8Num82z0"/>
    <w:qFormat/>
    <w:rPr/>
  </w:style>
  <w:style w:type="character" w:styleId="WW8Num83z0">
    <w:name w:val="WW8Num83z0"/>
    <w:qFormat/>
    <w:rPr/>
  </w:style>
  <w:style w:type="character" w:styleId="WW8Num84z0">
    <w:name w:val="WW8Num84z0"/>
    <w:qFormat/>
    <w:rPr/>
  </w:style>
  <w:style w:type="character" w:styleId="WW8Num85z0">
    <w:name w:val="WW8Num85z0"/>
    <w:qFormat/>
    <w:rPr/>
  </w:style>
  <w:style w:type="character" w:styleId="WW8Num86z0">
    <w:name w:val="WW8Num86z0"/>
    <w:qFormat/>
    <w:rPr/>
  </w:style>
  <w:style w:type="character" w:styleId="WW8Num87z0">
    <w:name w:val="WW8Num8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2001-04-03T18:23:00Z</dcterms:created>
  <dc:creator>cfoster</dc:creator>
  <dc:description/>
  <dc:language>en-CA</dc:language>
  <cp:lastModifiedBy>cfoster</cp:lastModifiedBy>
  <cp:lastPrinted>2001-03-22T07:16:00Z</cp:lastPrinted>
  <dcterms:modified xsi:type="dcterms:W3CDTF">2001-04-03T18:23:00Z</dcterms:modified>
  <cp:revision>2</cp:revision>
  <dc:subject/>
  <dc:title>Enron Capital &amp; Trade Resources/Citizens Utilities (Arizona)</dc:title>
</cp:coreProperties>
</file>