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901700"/>
                <wp:effectExtent l="0" t="0" r="0" b="0"/>
                <wp:wrapTopAndBottom/>
                <wp:docPr id="1" name="Frame1"/>
                <a:graphic xmlns:a="http://schemas.openxmlformats.org/drawingml/2006/main">
                  <a:graphicData uri="http://schemas.microsoft.com/office/word/2010/wordprocessingShape">
                    <wps:wsp>
                      <wps:cNvSpPr txBox="1"/>
                      <wps:spPr>
                        <a:xfrm>
                          <a:off x="0" y="0"/>
                          <a:ext cx="2506345" cy="901700"/>
                        </a:xfrm>
                        <a:prstGeom prst="rect"/>
                        <a:solidFill>
                          <a:srgbClr val="FFFFFF">
                            <a:alpha val="0"/>
                          </a:srgbClr>
                        </a:solidFill>
                        <a:ln w="9525">
                          <a:solidFill>
                            <a:srgbClr val="000000"/>
                          </a:solidFill>
                        </a:ln>
                      </wps:spPr>
                      <wps:txbx>
                        <w:txbxContent>
                          <w:p>
                            <w:pPr>
                              <w:pStyle w:val="CompanyName"/>
                              <w:rPr/>
                            </w:pPr>
                            <w:r>
                              <w:rPr/>
                              <w:t>Enron Energy Services</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71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Enron Energy Services</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tab/>
        <w:t>Greg Adams</w:t>
      </w:r>
    </w:p>
    <w:p>
      <w:pPr>
        <w:pStyle w:val="MessageHeader"/>
        <w:rPr/>
      </w:pPr>
      <w:r>
        <w:rPr>
          <w:rStyle w:val="MessageHeaderLabel"/>
        </w:rPr>
        <w:t>From:</w:t>
      </w:r>
      <w:r>
        <w:rPr/>
        <w:tab/>
        <w:t>Dwight Fruge</w:t>
        <w:tab/>
        <w:tab/>
      </w:r>
    </w:p>
    <w:p>
      <w:pPr>
        <w:pStyle w:val="MessageHeader"/>
        <w:rPr/>
      </w:pPr>
      <w:r>
        <w:rPr>
          <w:rStyle w:val="MessageHeaderLabel"/>
        </w:rPr>
        <w:t>CC:</w:t>
      </w:r>
      <w:r>
        <w:rPr/>
        <w:tab/>
        <w:t xml:space="preserve"> </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NY State Market Information</w:t>
      </w:r>
    </w:p>
    <w:p>
      <w:pPr>
        <w:pStyle w:val="BodyText"/>
        <w:rPr/>
      </w:pPr>
      <w:r>
        <w:rPr/>
      </w:r>
    </w:p>
    <w:p>
      <w:pPr>
        <w:pStyle w:val="BodyText"/>
        <w:rPr>
          <w:sz w:val="22"/>
        </w:rPr>
      </w:pPr>
      <w:r>
        <w:rPr>
          <w:sz w:val="22"/>
        </w:rPr>
        <w:t xml:space="preserve">The target market for the NY state market is very dependent on which Utility we are targeting. In upstate New York, under Niagara Mohawk, we are targeting the Large Commercial and Industrial customers which include manufacturing facilities, large industrial operations and large office buildings.  </w:t>
      </w:r>
    </w:p>
    <w:p>
      <w:pPr>
        <w:pStyle w:val="BodyText"/>
        <w:rPr>
          <w:sz w:val="22"/>
        </w:rPr>
      </w:pPr>
      <w:r>
        <w:rPr>
          <w:sz w:val="22"/>
        </w:rPr>
        <w:t>In NYC, under Consolidated Edison, our target market includes Hospitals, Real Estate companies,  Hotels, Nursing Homes and Grocery Stores.  We are targeting the customer types that are risk averse and have a fixed profit structure.</w:t>
      </w:r>
    </w:p>
    <w:p>
      <w:pPr>
        <w:pStyle w:val="BodyText"/>
        <w:rPr>
          <w:sz w:val="22"/>
        </w:rPr>
      </w:pPr>
      <w:r>
        <w:rPr>
          <w:sz w:val="22"/>
        </w:rPr>
        <w:t>Thus far in New York state we have signed contracts with a TCV of $327MM with $206MM of that in the Consolidated Edison territory.  In our pipeline for this year we have identified $2.14 Billion in TCV with $2 Billion of that in Consolidated Edison.</w:t>
      </w:r>
    </w:p>
    <w:p>
      <w:pPr>
        <w:pStyle w:val="BodyText"/>
        <w:rPr>
          <w:sz w:val="22"/>
        </w:rPr>
      </w:pPr>
      <w:r>
        <w:rPr>
          <w:sz w:val="22"/>
        </w:rPr>
        <w:t>In NYC we can provide customers with price stability and eliminate any Market Volatility currently being experienced.  This allows customers to accurately budget their energy costs and provide this stability for years to come.  On average we have been able to provide an 8-10% discount for our target market when compared against the 6-8 month backcast.</w:t>
      </w:r>
    </w:p>
    <w:p>
      <w:pPr>
        <w:pStyle w:val="BodyText"/>
        <w:rPr>
          <w:sz w:val="22"/>
        </w:rPr>
      </w:pPr>
      <w:r>
        <w:rPr>
          <w:sz w:val="22"/>
        </w:rPr>
      </w:r>
    </w:p>
    <w:p>
      <w:pPr>
        <w:pStyle w:val="BodyText"/>
        <w:rPr>
          <w:sz w:val="22"/>
        </w:rPr>
      </w:pPr>
      <w:r>
        <w:rPr>
          <w:sz w:val="22"/>
        </w:rPr>
        <w:t xml:space="preserve">I hope this is the information you needed.  </w:t>
      </w:r>
    </w:p>
    <w:p>
      <w:pPr>
        <w:pStyle w:val="BodyText"/>
        <w:rPr>
          <w:sz w:val="22"/>
        </w:rPr>
      </w:pPr>
      <w:r>
        <w:rPr>
          <w:sz w:val="22"/>
        </w:rPr>
      </w:r>
    </w:p>
    <w:p>
      <w:pPr>
        <w:pStyle w:val="BodyText"/>
        <w:spacing w:before="0" w:after="220"/>
        <w:rPr>
          <w:sz w:val="22"/>
        </w:rPr>
      </w:pPr>
      <w:r>
        <w:rPr>
          <w:sz w:val="22"/>
        </w:rPr>
        <w:t>Dwight</w:t>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2001-04-19T13:50:00Z</dcterms:created>
  <dc:creator>dfruge</dc:creator>
  <dc:description/>
  <dc:language>en-CA</dc:language>
  <cp:lastModifiedBy>dfruge</cp:lastModifiedBy>
  <dcterms:modified xsi:type="dcterms:W3CDTF">2001-04-19T14:31:00Z</dcterms:modified>
  <cp:revision>1</cp:revision>
  <dc:subject/>
  <dc:title>Memo</dc:title>
</cp:coreProperties>
</file>