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 xml:space="preserve">       </w:t>
      </w:r>
      <w:r>
        <w:rPr>
          <w:b/>
          <w:sz w:val="24"/>
        </w:rPr>
        <w:t>MANAGED FUNDS ASSOCIATION</w:t>
      </w:r>
    </w:p>
    <w:p>
      <w:pPr>
        <w:pStyle w:val="Normal"/>
        <w:rPr>
          <w:b/>
          <w:sz w:val="24"/>
        </w:rPr>
      </w:pPr>
      <w:r>
        <w:rPr>
          <w:b/>
          <w:sz w:val="24"/>
        </w:rPr>
      </w:r>
    </w:p>
    <w:p>
      <w:pPr>
        <w:pStyle w:val="Normal"/>
        <w:rPr>
          <w:b/>
          <w:sz w:val="24"/>
        </w:rPr>
      </w:pPr>
      <w:r>
        <w:rPr>
          <w:b/>
          <w:sz w:val="24"/>
        </w:rPr>
        <w:tab/>
        <w:tab/>
        <w:tab/>
        <w:t>GOVERNMENT RELATIONS COMMITTEE</w:t>
      </w:r>
    </w:p>
    <w:p>
      <w:pPr>
        <w:pStyle w:val="Normal"/>
        <w:rPr>
          <w:b/>
          <w:sz w:val="24"/>
        </w:rPr>
      </w:pPr>
      <w:r>
        <w:rPr>
          <w:b/>
          <w:sz w:val="24"/>
        </w:rPr>
        <w:tab/>
        <w:tab/>
        <w:tab/>
        <w:tab/>
        <w:t xml:space="preserve">      September 6, 2000</w:t>
      </w:r>
    </w:p>
    <w:p>
      <w:pPr>
        <w:pStyle w:val="Normal"/>
        <w:rPr>
          <w:b/>
          <w:sz w:val="24"/>
        </w:rPr>
      </w:pPr>
      <w:r>
        <w:rPr>
          <w:b/>
          <w:sz w:val="24"/>
        </w:rPr>
      </w:r>
    </w:p>
    <w:p>
      <w:pPr>
        <w:pStyle w:val="Normal"/>
        <w:rPr>
          <w:b/>
          <w:sz w:val="24"/>
        </w:rPr>
      </w:pPr>
      <w:r>
        <w:rPr>
          <w:b/>
          <w:sz w:val="24"/>
        </w:rPr>
        <w:tab/>
        <w:tab/>
        <w:tab/>
        <w:tab/>
        <w:tab/>
        <w:t>MINUTES</w:t>
      </w:r>
    </w:p>
    <w:p>
      <w:pPr>
        <w:pStyle w:val="Heading1"/>
        <w:ind w:hanging="0" w:start="0"/>
        <w:rPr/>
      </w:pPr>
      <w:r>
        <w:rPr/>
        <w:tab/>
        <w:tab/>
        <w:tab/>
        <w:tab/>
        <w:t xml:space="preserve">        Draft 9-14-2000</w:t>
      </w:r>
    </w:p>
    <w:p>
      <w:pPr>
        <w:pStyle w:val="Normal"/>
        <w:rPr>
          <w:sz w:val="24"/>
        </w:rPr>
      </w:pPr>
      <w:r>
        <w:rPr>
          <w:sz w:val="24"/>
        </w:rPr>
      </w:r>
    </w:p>
    <w:p>
      <w:pPr>
        <w:pStyle w:val="Normal"/>
        <w:rPr>
          <w:sz w:val="24"/>
        </w:rPr>
      </w:pPr>
      <w:r>
        <w:rPr>
          <w:sz w:val="24"/>
        </w:rPr>
      </w:r>
    </w:p>
    <w:p>
      <w:pPr>
        <w:pStyle w:val="Normal"/>
        <w:rPr/>
      </w:pPr>
      <w:r>
        <w:rPr>
          <w:sz w:val="24"/>
        </w:rPr>
        <w:tab/>
        <w:t>The MFA Government Relations Committee met on Wednesday, September 6, 2000 at the Offices of Morgan Stanley Dean Witter, 2 World Trade Center, 62</w:t>
      </w:r>
      <w:r>
        <w:rPr>
          <w:sz w:val="24"/>
          <w:vertAlign w:val="superscript"/>
        </w:rPr>
        <w:t>nd</w:t>
      </w:r>
      <w:r>
        <w:rPr>
          <w:sz w:val="24"/>
        </w:rPr>
        <w:t xml:space="preserve"> Floor, New York, New York.</w:t>
      </w:r>
    </w:p>
    <w:p>
      <w:pPr>
        <w:pStyle w:val="Normal"/>
        <w:rPr>
          <w:sz w:val="24"/>
        </w:rPr>
      </w:pPr>
      <w:r>
        <w:rPr>
          <w:sz w:val="24"/>
        </w:rPr>
      </w:r>
    </w:p>
    <w:p>
      <w:pPr>
        <w:pStyle w:val="Normal"/>
        <w:rPr>
          <w:sz w:val="24"/>
        </w:rPr>
      </w:pPr>
      <w:r>
        <w:rPr>
          <w:sz w:val="24"/>
        </w:rPr>
        <w:tab/>
        <w:t>Attendance:</w:t>
        <w:tab/>
        <w:t xml:space="preserve">In Person:  Chairman Kozak, Crapple, Young, Smythe, Raisler, Silber, Olgin, Ellberg,Weynand, Gaine and McCarty.  By Teleconference:  Ziegler, Pierce, Esposito, Klingler, Balcer, Monson, Nissen, Rosen, Zales (for Bernstein) and Uhlenhop.  </w:t>
      </w:r>
    </w:p>
    <w:p>
      <w:pPr>
        <w:pStyle w:val="Normal"/>
        <w:rPr>
          <w:sz w:val="24"/>
        </w:rPr>
      </w:pPr>
      <w:r>
        <w:rPr>
          <w:sz w:val="24"/>
        </w:rPr>
      </w:r>
    </w:p>
    <w:p>
      <w:pPr>
        <w:pStyle w:val="Normal"/>
        <w:rPr>
          <w:sz w:val="24"/>
        </w:rPr>
      </w:pPr>
      <w:r>
        <w:rPr>
          <w:sz w:val="24"/>
        </w:rPr>
        <w:tab/>
        <w:t xml:space="preserve">Committee Chairman Kozak called the meeting to order at approximately 10:15am.  After some brief introductory remarks by Kozak, each participant identified themselves.  Kozak reminded committee members that they should indicate to Kate Rice their interest in continuing to serve on the GRC for the next year.  Kozak also stated that the meeting would follow the agenda which had been sent out previously to all Committee members.  </w:t>
      </w:r>
    </w:p>
    <w:p>
      <w:pPr>
        <w:pStyle w:val="Normal"/>
        <w:rPr>
          <w:sz w:val="24"/>
        </w:rPr>
      </w:pPr>
      <w:r>
        <w:rPr>
          <w:sz w:val="24"/>
        </w:rPr>
      </w:r>
    </w:p>
    <w:p>
      <w:pPr>
        <w:pStyle w:val="Normal"/>
        <w:rPr/>
      </w:pPr>
      <w:r>
        <w:rPr>
          <w:sz w:val="24"/>
        </w:rPr>
        <w:tab/>
      </w:r>
      <w:r>
        <w:rPr>
          <w:b/>
          <w:sz w:val="24"/>
        </w:rPr>
        <w:t>Item 1.  Introduction of Patrick J. McCarty, new MFA Executive Vice President and General Counsel.</w:t>
      </w:r>
      <w:r>
        <w:rPr>
          <w:sz w:val="24"/>
        </w:rPr>
        <w:t xml:space="preserve">  MFA President Jack Gaine introduced Patrick J. McCarty as MFA’s new Executive Vice President for Legislative and Regulatory Affairs as well as General Counsel.  Mr. McCarty started with MFA on June 30.  Gaine discussed Mr. McCarty’s background after which Mr. McCarty made some brief remarks.  </w:t>
      </w:r>
    </w:p>
    <w:p>
      <w:pPr>
        <w:pStyle w:val="Normal"/>
        <w:rPr>
          <w:sz w:val="24"/>
        </w:rPr>
      </w:pPr>
      <w:r>
        <w:rPr>
          <w:sz w:val="24"/>
        </w:rPr>
      </w:r>
    </w:p>
    <w:p>
      <w:pPr>
        <w:pStyle w:val="Normal"/>
        <w:rPr/>
      </w:pPr>
      <w:r>
        <w:rPr>
          <w:sz w:val="24"/>
        </w:rPr>
        <w:tab/>
      </w:r>
      <w:r>
        <w:rPr>
          <w:b/>
          <w:sz w:val="24"/>
        </w:rPr>
        <w:t>Item 2.  Overview of Regulatory and Legislative Agenda</w:t>
      </w:r>
      <w:r>
        <w:rPr>
          <w:sz w:val="24"/>
        </w:rPr>
        <w:t>.  Gaine discussed MFA regulatory and legislative activities in general.  He noted that MFA staff had been extremely busy since the last GRC meeting on a variety of issues, most of which would be discussed in depth under specific Agenda items.</w:t>
      </w:r>
    </w:p>
    <w:p>
      <w:pPr>
        <w:pStyle w:val="Normal"/>
        <w:rPr>
          <w:sz w:val="24"/>
        </w:rPr>
      </w:pPr>
      <w:r>
        <w:rPr>
          <w:sz w:val="24"/>
        </w:rPr>
      </w:r>
    </w:p>
    <w:p>
      <w:pPr>
        <w:pStyle w:val="Normal"/>
        <w:rPr/>
      </w:pPr>
      <w:r>
        <w:rPr>
          <w:sz w:val="24"/>
        </w:rPr>
        <w:tab/>
        <w:t xml:space="preserve">Chairman Kozak suggested that the Committee review at its next meeting the status of issues previously referred by the Committee to various subcommittees.  </w:t>
      </w:r>
      <w:r>
        <w:rPr>
          <w:b/>
          <w:sz w:val="24"/>
        </w:rPr>
        <w:t>Action Item</w:t>
      </w:r>
      <w:r>
        <w:rPr>
          <w:sz w:val="24"/>
        </w:rPr>
        <w:t xml:space="preserve"> - This suggestion was approved.</w:t>
      </w:r>
    </w:p>
    <w:p>
      <w:pPr>
        <w:pStyle w:val="Normal"/>
        <w:rPr>
          <w:sz w:val="24"/>
        </w:rPr>
      </w:pPr>
      <w:r>
        <w:rPr>
          <w:sz w:val="24"/>
        </w:rPr>
        <w:tab/>
      </w:r>
    </w:p>
    <w:p>
      <w:pPr>
        <w:pStyle w:val="Normal"/>
        <w:rPr/>
      </w:pPr>
      <w:r>
        <w:rPr>
          <w:sz w:val="24"/>
        </w:rPr>
        <w:tab/>
        <w:t>The Committee then discussed whether MFA should become active with respect to ERISA</w:t>
      </w:r>
      <w:r>
        <w:rPr>
          <w:b/>
          <w:sz w:val="24"/>
        </w:rPr>
        <w:t>.  Action Item</w:t>
      </w:r>
      <w:r>
        <w:rPr>
          <w:sz w:val="24"/>
        </w:rPr>
        <w:t xml:space="preserve"> - After significant discussion, Committee Member Zeigler agreed to  prepare for the Committee’s next meeting an outline of legislative and regulatory issues involving ERISA which affect CTAs.  Gaine will forward to Zeigler materials he has regarding ERISA issues which MFA has considered before.  Members Monson, Olgin, Klingler, Pierce and Smythe volunteered to assist Zeigler on this project. </w:t>
      </w:r>
    </w:p>
    <w:p>
      <w:pPr>
        <w:pStyle w:val="Normal"/>
        <w:rPr>
          <w:sz w:val="24"/>
        </w:rPr>
      </w:pPr>
      <w:r>
        <w:rPr>
          <w:sz w:val="24"/>
        </w:rPr>
      </w:r>
    </w:p>
    <w:p>
      <w:pPr>
        <w:pStyle w:val="Normal"/>
        <w:rPr>
          <w:sz w:val="24"/>
        </w:rPr>
      </w:pPr>
      <w:r>
        <w:rPr>
          <w:sz w:val="24"/>
        </w:rPr>
      </w:r>
    </w:p>
    <w:p>
      <w:pPr>
        <w:pStyle w:val="Normal"/>
        <w:rPr/>
      </w:pPr>
      <w:r>
        <w:rPr>
          <w:sz w:val="24"/>
        </w:rPr>
        <w:tab/>
      </w:r>
      <w:r>
        <w:rPr>
          <w:b/>
          <w:sz w:val="24"/>
        </w:rPr>
        <w:t>Item 3.  CFTC Rule 4.27 – Hedge Fund Disclosure Regulation.</w:t>
      </w:r>
      <w:r>
        <w:rPr>
          <w:sz w:val="24"/>
        </w:rPr>
        <w:t xml:space="preserve">  Gaine reported that the comment period on CFTC rule had recently closed and that virtually all the comments received were negative.  It was suggested that there was very little chance of the CFTC proceeding with the rule.  Most participants agreed with this point of view, however, several members warned of CFTC or legislative action if another LTCM like affair occurs.  It was agreed that MFA needed to continue to monitor and work the issue.  </w:t>
      </w:r>
    </w:p>
    <w:p>
      <w:pPr>
        <w:pStyle w:val="Normal"/>
        <w:rPr>
          <w:sz w:val="24"/>
        </w:rPr>
      </w:pPr>
      <w:r>
        <w:rPr>
          <w:sz w:val="24"/>
        </w:rPr>
      </w:r>
    </w:p>
    <w:p>
      <w:pPr>
        <w:pStyle w:val="Normal"/>
        <w:ind w:firstLine="720" w:end="0"/>
        <w:rPr/>
      </w:pPr>
      <w:r>
        <w:rPr>
          <w:b/>
          <w:sz w:val="24"/>
        </w:rPr>
        <w:t>Item 4.  Baker Hedge Fund Disclosure Act.</w:t>
      </w:r>
      <w:r>
        <w:rPr>
          <w:sz w:val="24"/>
        </w:rPr>
        <w:t xml:space="preserve">  The Committee discussed the current status of the Baker Hedge Fund bill.  The Committee was advised that the Baker bill remains in the House Banking Committee and has not moved since late spring.  In addition, the Committee was advised that MFA had been successful in preventing the Baker bill from being added to H.R. 4541, the CFTC reauthorization bill, when it was considered by the House Banking Committee in late July.  It was generally agreed by the participants that MFA would need to be vigilant on this issue at both the CFTC and in the Congress and that MFA should continue its program of educating House and Senate staff.  </w:t>
      </w:r>
    </w:p>
    <w:p>
      <w:pPr>
        <w:pStyle w:val="Normal"/>
        <w:ind w:firstLine="720" w:end="0"/>
        <w:rPr>
          <w:sz w:val="24"/>
        </w:rPr>
      </w:pPr>
      <w:r>
        <w:rPr>
          <w:sz w:val="24"/>
        </w:rPr>
      </w:r>
    </w:p>
    <w:p>
      <w:pPr>
        <w:pStyle w:val="Normal"/>
        <w:ind w:firstLine="720" w:end="0"/>
        <w:rPr/>
      </w:pPr>
      <w:r>
        <w:rPr>
          <w:b/>
          <w:sz w:val="24"/>
        </w:rPr>
        <w:t>Item 5.  CFTC Rule 4.7 Expansion.</w:t>
      </w:r>
      <w:r>
        <w:rPr>
          <w:sz w:val="24"/>
        </w:rPr>
        <w:t xml:space="preserve">  Committee Member Zeigler summarized the recently issued CFTC final rule which expands Rule 4.7.  Among the changes noted by Zeigler was the change in the term “Qualified Eligible Person” to cover both CPO employees and other qualified investors.</w:t>
      </w:r>
    </w:p>
    <w:p>
      <w:pPr>
        <w:pStyle w:val="Normal"/>
        <w:ind w:firstLine="720" w:end="0"/>
        <w:rPr>
          <w:sz w:val="24"/>
        </w:rPr>
      </w:pPr>
      <w:r>
        <w:rPr>
          <w:sz w:val="24"/>
        </w:rPr>
      </w:r>
    </w:p>
    <w:p>
      <w:pPr>
        <w:pStyle w:val="Normal"/>
        <w:ind w:firstLine="720" w:end="0"/>
        <w:rPr/>
      </w:pPr>
      <w:r>
        <w:rPr>
          <w:b/>
          <w:sz w:val="24"/>
        </w:rPr>
        <w:t>Item 6.  Uptick Rule.</w:t>
      </w:r>
      <w:r>
        <w:rPr>
          <w:sz w:val="24"/>
        </w:rPr>
        <w:t xml:space="preserve">  Committee Member Mark Silber advised the Committee that the uptick rule, while not final, is moving.  Comments on the proposal have been received and the SEC should be moving forward this fall.</w:t>
      </w:r>
    </w:p>
    <w:p>
      <w:pPr>
        <w:pStyle w:val="Normal"/>
        <w:ind w:firstLine="720" w:end="0"/>
        <w:rPr>
          <w:sz w:val="24"/>
        </w:rPr>
      </w:pPr>
      <w:r>
        <w:rPr>
          <w:sz w:val="24"/>
        </w:rPr>
      </w:r>
    </w:p>
    <w:p>
      <w:pPr>
        <w:pStyle w:val="Normal"/>
        <w:ind w:firstLine="720" w:end="0"/>
        <w:rPr/>
      </w:pPr>
      <w:r>
        <w:rPr>
          <w:sz w:val="24"/>
        </w:rPr>
        <w:t xml:space="preserve">Chairman Crapple raised the issue of whether MFA should comment upon the SEC proposal to loosen the restrictions on fund managers investing in hot issues.  A discussion ensued regarding the status of the proposal – it hasn’t been issued yet – and whether MFA has an interest.  It was agreed that MFA should strongly consider commenting.  </w:t>
      </w:r>
      <w:r>
        <w:rPr>
          <w:b/>
          <w:sz w:val="24"/>
        </w:rPr>
        <w:t>Action Item</w:t>
      </w:r>
      <w:r>
        <w:rPr>
          <w:sz w:val="24"/>
        </w:rPr>
        <w:t xml:space="preserve"> - Committee member Silber volunteered to review the SEC proposal when it is issued and work with other committee members to draft a proposed MFA comment letter.   Gaine agreed to forward information he had recently received.</w:t>
      </w:r>
    </w:p>
    <w:p>
      <w:pPr>
        <w:pStyle w:val="Normal"/>
        <w:ind w:firstLine="720" w:end="0"/>
        <w:rPr>
          <w:sz w:val="24"/>
        </w:rPr>
      </w:pPr>
      <w:r>
        <w:rPr>
          <w:sz w:val="24"/>
        </w:rPr>
      </w:r>
    </w:p>
    <w:p>
      <w:pPr>
        <w:pStyle w:val="Normal"/>
        <w:ind w:firstLine="720" w:end="0"/>
        <w:rPr/>
      </w:pPr>
      <w:r>
        <w:rPr>
          <w:b/>
          <w:sz w:val="24"/>
        </w:rPr>
        <w:t>Item 7.  CFTC Reauthorization Legislation</w:t>
      </w:r>
      <w:r>
        <w:rPr>
          <w:sz w:val="24"/>
        </w:rPr>
        <w:t xml:space="preserve">.  Gaine informed the Committee of the status and outlook for the CFTC Reauthorization legislation currently before Congress. While participants had different views of the impact on MFA members, it was the consensus that enactment of the bill was far from being assured due to the lack of agreement on single stock futures and the short amount of time left this Congress – just 4 weeks.  </w:t>
      </w:r>
    </w:p>
    <w:p>
      <w:pPr>
        <w:pStyle w:val="Normal"/>
        <w:ind w:firstLine="720" w:end="0"/>
        <w:rPr>
          <w:sz w:val="24"/>
        </w:rPr>
      </w:pPr>
      <w:r>
        <w:rPr>
          <w:sz w:val="24"/>
        </w:rPr>
      </w:r>
    </w:p>
    <w:p>
      <w:pPr>
        <w:pStyle w:val="Normal"/>
        <w:ind w:firstLine="720" w:end="0"/>
        <w:rPr/>
      </w:pPr>
      <w:r>
        <w:rPr>
          <w:sz w:val="24"/>
        </w:rPr>
        <w:t xml:space="preserve">The two major issues in the bill are (1) legal certainty for over the counter derivatives and (2) single stock futures.  Gaine updated the Committee on the status of negotiations between the CFTC and SEC, as mediated by the Treasury Department, on the single stock futures issue.  The Committee members discussed the potential operational concerns for CPOs and CTAs.  It was noted that Sec. 209 of the Commerce Committee bill could require CPOs and CTAs which use single stock futures to register as investment companies and investment advisers, respectively.  One participant suggested that defining single stock futures as “securities” would not have much of an effect as long as a reasonable and bright line test was articulated.  Gaine reported that MFA had recently sent a letter to CFTC Chairman Rainer expressing its point of view on the single stock futures issue and suggesting certain minimum legislative changes for CPOs and CTAs which use single stock futures.  Members attention was directed to the legislative language matrix and asked to review and provide comments, if any, to Gaine.  </w:t>
      </w:r>
      <w:r>
        <w:rPr>
          <w:b/>
          <w:sz w:val="24"/>
        </w:rPr>
        <w:t xml:space="preserve"> Action Item </w:t>
      </w:r>
      <w:r>
        <w:rPr>
          <w:sz w:val="24"/>
        </w:rPr>
        <w:t xml:space="preserve">– MFA to circulate MFA letter to CFTC Chairman Rainer on single stock futures issue along with legislative language for CPOs and CTAs with a view towards developing standards that would permit maximum use of single stock futures by CTAs and CPOs without triggering registration with the SEC. </w:t>
      </w:r>
    </w:p>
    <w:p>
      <w:pPr>
        <w:pStyle w:val="Normal"/>
        <w:ind w:firstLine="720" w:end="0"/>
        <w:rPr>
          <w:sz w:val="24"/>
        </w:rPr>
      </w:pPr>
      <w:r>
        <w:rPr>
          <w:sz w:val="24"/>
        </w:rPr>
      </w:r>
    </w:p>
    <w:p>
      <w:pPr>
        <w:pStyle w:val="Normal"/>
        <w:ind w:firstLine="720" w:end="0"/>
        <w:rPr/>
      </w:pPr>
      <w:r>
        <w:rPr>
          <w:b/>
          <w:sz w:val="24"/>
        </w:rPr>
        <w:t>Item 8.  CFTC Regulatory Reinvention Proposal.</w:t>
      </w:r>
      <w:r>
        <w:rPr>
          <w:sz w:val="24"/>
        </w:rPr>
        <w:t xml:space="preserve">  The CFTC’s recent regulatory reinvention proposal was discussed next.  MFA’s comment letter was attached to the Agenda.  The Committee was told that the CFTC’s proposal, which would provide significant relief to the futures exchanges by establishing “core principles” which would apply to the 3 types of futures markets, would most likely be adopted by the end of this year.  In addition, it was reported that the final rule would most likely look very much like the proposed rule.  It was observed that the CFTC proposal provides little regulatory relief to FCMs, CPOs and CTAs.    </w:t>
      </w:r>
    </w:p>
    <w:p>
      <w:pPr>
        <w:pStyle w:val="Normal"/>
        <w:ind w:firstLine="720" w:end="0"/>
        <w:rPr>
          <w:sz w:val="24"/>
        </w:rPr>
      </w:pPr>
      <w:r>
        <w:rPr>
          <w:sz w:val="24"/>
        </w:rPr>
      </w:r>
    </w:p>
    <w:p>
      <w:pPr>
        <w:pStyle w:val="Normal"/>
        <w:ind w:firstLine="720" w:end="0"/>
        <w:rPr/>
      </w:pPr>
      <w:r>
        <w:rPr>
          <w:b/>
          <w:sz w:val="24"/>
        </w:rPr>
        <w:t>Item 9.  Notional Funds</w:t>
      </w:r>
      <w:r>
        <w:rPr>
          <w:sz w:val="24"/>
        </w:rPr>
        <w:t>.  The Committee next heard about the status of the CFTC’s proposal on notional funds.  It was reported that CFTC Staff had advised MFA that the notional funds proposal would be circulated by the Chairman to the other Commissioners for approval in the near future.  Committee members were advised that this long awaited proposal should be issued by the CFTC by year end in a favorable form.</w:t>
      </w:r>
    </w:p>
    <w:p>
      <w:pPr>
        <w:pStyle w:val="Normal"/>
        <w:ind w:firstLine="720" w:end="0"/>
        <w:rPr>
          <w:sz w:val="24"/>
        </w:rPr>
      </w:pPr>
      <w:r>
        <w:rPr>
          <w:sz w:val="24"/>
        </w:rPr>
      </w:r>
    </w:p>
    <w:p>
      <w:pPr>
        <w:pStyle w:val="Normal"/>
        <w:ind w:firstLine="720" w:end="0"/>
        <w:rPr/>
      </w:pPr>
      <w:r>
        <w:rPr>
          <w:b/>
          <w:sz w:val="24"/>
        </w:rPr>
        <w:t>Item 10.  Griffin Bankruptcy Case Status</w:t>
      </w:r>
      <w:r>
        <w:rPr>
          <w:sz w:val="24"/>
        </w:rPr>
        <w:t>.  The Committee next discussed the status of the Griffin Bankruptcy Case.  The Committee was advised that the parties were attempting to settle the case prior to the District Court ruling.  It was noted that a settlement prior to the District Court ruling would have the effect of limiting the precedential value of the Bankruptcy Court’s decision.  It was also noted that the settlement could occur in the very near future.</w:t>
      </w:r>
    </w:p>
    <w:p>
      <w:pPr>
        <w:pStyle w:val="Normal"/>
        <w:ind w:firstLine="720" w:end="0"/>
        <w:rPr>
          <w:sz w:val="24"/>
        </w:rPr>
      </w:pPr>
      <w:r>
        <w:rPr>
          <w:sz w:val="24"/>
        </w:rPr>
      </w:r>
    </w:p>
    <w:p>
      <w:pPr>
        <w:pStyle w:val="Normal"/>
        <w:ind w:firstLine="720" w:end="0"/>
        <w:rPr/>
      </w:pPr>
      <w:r>
        <w:rPr>
          <w:b/>
          <w:sz w:val="24"/>
        </w:rPr>
        <w:t>Item 11.  MFA International Activities.</w:t>
      </w:r>
      <w:r>
        <w:rPr>
          <w:sz w:val="24"/>
        </w:rPr>
        <w:t xml:space="preserve">  The Committee next discussed the recent requests which MFA has received from both the Treasury Department and the CFTC regarding international financial market activities.   MFA has participated in one Financial Stability Forum outreach session held in New York City in early August.  The FSF is interested in industry feedback on international standard setting proposals.  In addition, MFA was asked to provide feedback to the CFTC and Treasury regarding any problems MFA members have had with accessing or trading in foreign markets.   One participant recounted that MFA – through the Treasury Department - had been instrumental in resolving market access problems in Japan.  </w:t>
      </w:r>
      <w:r>
        <w:rPr>
          <w:b/>
          <w:sz w:val="24"/>
        </w:rPr>
        <w:t>Action Item</w:t>
      </w:r>
      <w:r>
        <w:rPr>
          <w:sz w:val="24"/>
        </w:rPr>
        <w:t xml:space="preserve"> - It was suggested that an article be placed in the MFA Reporter asking members for input on the FSF international standards program as well as the foreign markets access issue.</w:t>
      </w:r>
    </w:p>
    <w:p>
      <w:pPr>
        <w:pStyle w:val="Normal"/>
        <w:ind w:firstLine="720" w:end="0"/>
        <w:rPr>
          <w:sz w:val="24"/>
        </w:rPr>
      </w:pPr>
      <w:r>
        <w:rPr>
          <w:sz w:val="24"/>
        </w:rPr>
      </w:r>
    </w:p>
    <w:p>
      <w:pPr>
        <w:pStyle w:val="Normal"/>
        <w:ind w:firstLine="720" w:end="0"/>
        <w:rPr/>
      </w:pPr>
      <w:r>
        <w:rPr>
          <w:b/>
          <w:sz w:val="24"/>
        </w:rPr>
        <w:t>Item 12.  Annual Commodity Pool Report – SOP 95-2.</w:t>
      </w:r>
      <w:r>
        <w:rPr>
          <w:sz w:val="24"/>
        </w:rPr>
        <w:t xml:space="preserve">  </w:t>
      </w:r>
      <w:r>
        <w:rPr>
          <w:b/>
          <w:sz w:val="24"/>
        </w:rPr>
        <w:t xml:space="preserve"> </w:t>
      </w:r>
      <w:r>
        <w:rPr>
          <w:sz w:val="24"/>
        </w:rPr>
        <w:t xml:space="preserve">It was generally concluded that adoption of the rule would occur, but that comment on specific fund of funds issue might be productive.  </w:t>
      </w:r>
      <w:r>
        <w:rPr>
          <w:b/>
          <w:sz w:val="24"/>
        </w:rPr>
        <w:t>Action Item</w:t>
      </w:r>
      <w:r>
        <w:rPr>
          <w:sz w:val="24"/>
        </w:rPr>
        <w:t xml:space="preserve"> -  Committee Member Esposito volunteered to draft a comment letter which would propose to give fund of funds the option of not disclosing the name of the fund and the amount invested therein as long as sufficient meaningful disclosure regarding strategy and redemption restrictions were made.  Pierce volunteered to assist Esposito with the letter.</w:t>
      </w:r>
    </w:p>
    <w:p>
      <w:pPr>
        <w:pStyle w:val="Normal"/>
        <w:ind w:firstLine="720" w:end="0"/>
        <w:rPr>
          <w:sz w:val="24"/>
        </w:rPr>
      </w:pPr>
      <w:r>
        <w:rPr>
          <w:sz w:val="24"/>
        </w:rPr>
      </w:r>
    </w:p>
    <w:p>
      <w:pPr>
        <w:pStyle w:val="Normal"/>
        <w:ind w:firstLine="720" w:end="0"/>
        <w:rPr>
          <w:sz w:val="24"/>
        </w:rPr>
      </w:pPr>
      <w:r>
        <w:rPr>
          <w:b/>
          <w:sz w:val="24"/>
        </w:rPr>
        <w:t xml:space="preserve">Item 13.  New Business – MFA Initiative on Relaxing Regulation D Advertising.  </w:t>
      </w:r>
      <w:r>
        <w:rPr>
          <w:sz w:val="24"/>
        </w:rPr>
        <w:t xml:space="preserve"> The Committee next discussed whether MFA should undertake an initiative to relax the restrictions in Regulation D concerning solicitation and advertising.  Gaine described the initiative as one which would permit hedge fund managers and others to discuss and advertise their funds and performance more freely than currently permitted.  The participants discussed the pros and cons of MFA making such a proposal.  There appeared to be a consensus that such an initiative would be a positive for MFA members.  </w:t>
      </w:r>
      <w:r>
        <w:rPr>
          <w:b/>
          <w:sz w:val="24"/>
        </w:rPr>
        <w:t>Action Item</w:t>
      </w:r>
      <w:r>
        <w:rPr>
          <w:sz w:val="24"/>
        </w:rPr>
        <w:t xml:space="preserve"> - The issue was referred to a Task Force to be chaired by Member Ziegler for review and development of an outline of a proposal for the next Committee meeting.  A number of persons volunteered to work with Zeigler, including Olgin, Nissen, Esposito, Smythe, and Uhlenhop.</w:t>
      </w:r>
      <w:r>
        <w:rPr>
          <w:rStyle w:val="FootnoteCharacters"/>
          <w:rStyle w:val="FootnoteReference"/>
          <w:sz w:val="24"/>
        </w:rPr>
        <w:footnoteReference w:id="2"/>
      </w:r>
    </w:p>
    <w:p>
      <w:pPr>
        <w:pStyle w:val="Normal"/>
        <w:ind w:firstLine="720" w:end="0"/>
        <w:rPr>
          <w:sz w:val="24"/>
        </w:rPr>
      </w:pPr>
      <w:r>
        <w:rPr>
          <w:sz w:val="24"/>
        </w:rPr>
      </w:r>
    </w:p>
    <w:p>
      <w:pPr>
        <w:pStyle w:val="Normal"/>
        <w:ind w:firstLine="720" w:end="0"/>
        <w:rPr/>
      </w:pPr>
      <w:r>
        <w:rPr>
          <w:b/>
          <w:sz w:val="24"/>
        </w:rPr>
        <w:t xml:space="preserve">Item 14.  Other Business.  </w:t>
      </w:r>
      <w:r>
        <w:rPr>
          <w:sz w:val="24"/>
        </w:rPr>
        <w:t xml:space="preserve"> There was no other business raised.</w:t>
      </w:r>
    </w:p>
    <w:p>
      <w:pPr>
        <w:pStyle w:val="Normal"/>
        <w:ind w:firstLine="720" w:end="0"/>
        <w:rPr>
          <w:sz w:val="24"/>
        </w:rPr>
      </w:pPr>
      <w:r>
        <w:rPr>
          <w:sz w:val="24"/>
        </w:rPr>
      </w:r>
    </w:p>
    <w:p>
      <w:pPr>
        <w:pStyle w:val="Normal"/>
        <w:ind w:firstLine="720" w:end="0"/>
        <w:rPr/>
      </w:pPr>
      <w:r>
        <w:rPr>
          <w:b/>
          <w:sz w:val="24"/>
        </w:rPr>
        <w:t>Item 15.  Next Meeting</w:t>
      </w:r>
      <w:r>
        <w:rPr>
          <w:sz w:val="24"/>
        </w:rPr>
        <w:t>.  The next GRC Meeting was scheduled for October 14, 2000.</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After the Meeting Mike Griffin agreed to work on the Regulation D Task Force.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2000-09-07T11:30:00Z</dcterms:created>
  <dc:creator>SBA</dc:creator>
  <dc:description/>
  <dc:language>en-CA</dc:language>
  <cp:lastModifiedBy>SBA</cp:lastModifiedBy>
  <cp:lastPrinted>2000-09-14T09:06:00Z</cp:lastPrinted>
  <dcterms:modified xsi:type="dcterms:W3CDTF">2000-09-14T12:59:00Z</dcterms:modified>
  <cp:revision>7</cp:revision>
  <dc:subject/>
  <dc:title/>
</cp:coreProperties>
</file>