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ind w:start="180" w:end="0"/>
        <w:jc w:val="both"/>
        <w:rPr>
          <w:b/>
          <w:sz w:val="24"/>
          <w:lang w:eastAsia="en-US"/>
        </w:rPr>
      </w:pPr>
      <w:r>
        <w:rPr>
          <w:b/>
          <w:sz w:val="24"/>
          <w:lang w:eastAsia="en-US"/>
        </w:rPr>
        <w:t>The following  comments  address the draft Gramm-Schumer Electricity Bill</w:t>
      </w:r>
    </w:p>
    <w:p>
      <w:pPr>
        <w:pStyle w:val="Normal"/>
        <w:tabs>
          <w:tab w:val="left" w:pos="720" w:leader="none"/>
        </w:tabs>
        <w:ind w:start="180" w:end="0"/>
        <w:jc w:val="both"/>
        <w:rPr>
          <w:sz w:val="24"/>
          <w:lang w:eastAsia="en-US"/>
        </w:rPr>
      </w:pPr>
      <w:r>
        <w:rPr>
          <w:sz w:val="24"/>
          <w:lang w:eastAsia="en-US"/>
        </w:rPr>
        <w:t xml:space="preserve"> </w:t>
      </w:r>
    </w:p>
    <w:p>
      <w:pPr>
        <w:pStyle w:val="Normal"/>
        <w:tabs>
          <w:tab w:val="left" w:pos="720" w:leader="none"/>
        </w:tabs>
        <w:ind w:start="180" w:end="0"/>
        <w:jc w:val="both"/>
        <w:rPr>
          <w:sz w:val="24"/>
          <w:lang w:eastAsia="en-US"/>
        </w:rPr>
      </w:pPr>
      <w:r>
        <w:rPr>
          <w:sz w:val="24"/>
          <w:lang w:eastAsia="en-US"/>
        </w:rPr>
      </w:r>
    </w:p>
    <w:p>
      <w:pPr>
        <w:pStyle w:val="Normal"/>
        <w:numPr>
          <w:ilvl w:val="0"/>
          <w:numId w:val="1"/>
        </w:numPr>
        <w:tabs>
          <w:tab w:val="left" w:pos="720" w:leader="none"/>
        </w:tabs>
        <w:ind w:hanging="540" w:start="720" w:end="0"/>
        <w:jc w:val="both"/>
        <w:rPr>
          <w:sz w:val="24"/>
          <w:lang w:eastAsia="en-US"/>
        </w:rPr>
      </w:pPr>
      <w:r>
        <w:rPr>
          <w:sz w:val="24"/>
          <w:lang w:eastAsia="en-US"/>
        </w:rPr>
        <w:t xml:space="preserve">Section 151 – Findings.  This section does not address the problems associated with  unduly favorable treatment accorded to bundled transmission service by vertically-integrated utilities. </w:t>
      </w:r>
    </w:p>
    <w:p>
      <w:pPr>
        <w:pStyle w:val="Normal"/>
        <w:tabs>
          <w:tab w:val="left" w:pos="720" w:leader="none"/>
        </w:tabs>
        <w:ind w:hanging="540" w:start="720" w:end="0"/>
        <w:jc w:val="both"/>
        <w:rPr>
          <w:sz w:val="24"/>
          <w:lang w:eastAsia="en-US"/>
        </w:rPr>
      </w:pPr>
      <w:r>
        <w:rPr>
          <w:sz w:val="24"/>
          <w:lang w:eastAsia="en-US"/>
        </w:rPr>
      </w:r>
    </w:p>
    <w:p>
      <w:pPr>
        <w:pStyle w:val="Normal"/>
        <w:tabs>
          <w:tab w:val="left" w:pos="720" w:leader="none"/>
        </w:tabs>
        <w:ind w:hanging="540" w:start="720" w:end="0"/>
        <w:jc w:val="both"/>
        <w:rPr>
          <w:sz w:val="24"/>
          <w:lang w:eastAsia="en-US"/>
        </w:rPr>
      </w:pPr>
      <w:r>
        <w:rPr>
          <w:sz w:val="24"/>
          <w:lang w:eastAsia="en-US"/>
        </w:rPr>
        <w:t>2.</w:t>
        <w:tab/>
        <w:t xml:space="preserve">Section 153(a)(1) – Retail Electric Competition.  This section is directed at “each market for the purchase of electric energy….” It is not clear how  a legislative directive that a market be structured in a certain way can enforced, and who determines if a market satisfies the standards.  Section 153(b) requires State regulatory authorities to implement the standard, but this seems like a contorted approach to requiring retail access.  </w:t>
      </w:r>
    </w:p>
    <w:p>
      <w:pPr>
        <w:pStyle w:val="Normal"/>
        <w:tabs>
          <w:tab w:val="left" w:pos="720" w:leader="none"/>
        </w:tabs>
        <w:ind w:hanging="540" w:start="720" w:end="0"/>
        <w:jc w:val="both"/>
        <w:rPr>
          <w:sz w:val="24"/>
          <w:lang w:eastAsia="en-US"/>
        </w:rPr>
      </w:pPr>
      <w:r>
        <w:rPr>
          <w:sz w:val="24"/>
          <w:lang w:eastAsia="en-US"/>
        </w:rPr>
      </w:r>
    </w:p>
    <w:p>
      <w:pPr>
        <w:pStyle w:val="Normal"/>
        <w:tabs>
          <w:tab w:val="left" w:pos="720" w:leader="none"/>
        </w:tabs>
        <w:ind w:start="180" w:end="0"/>
        <w:jc w:val="both"/>
        <w:rPr>
          <w:sz w:val="24"/>
          <w:lang w:eastAsia="en-US"/>
        </w:rPr>
      </w:pPr>
      <w:r>
        <w:rPr>
          <w:sz w:val="24"/>
          <w:lang w:eastAsia="en-US"/>
        </w:rPr>
        <w:tab/>
        <w:t xml:space="preserve">Also, I am unable to comprehend the meaning of the “nondiscrimination” provision in Section 153(a)(2).  It appears to be intended to prohibit discrimination by a local distribution utility which is owned by a vertically-integrated local distribution utility.  However, the requirement that the rates be “comparable” fails to account for the fact that different utilities may have vastly different costs and rates.  </w:t>
      </w:r>
    </w:p>
    <w:p>
      <w:pPr>
        <w:pStyle w:val="Normal"/>
        <w:tabs>
          <w:tab w:val="left" w:pos="720" w:leader="none"/>
        </w:tabs>
        <w:ind w:hanging="540" w:start="720" w:end="0"/>
        <w:jc w:val="both"/>
        <w:rPr>
          <w:sz w:val="24"/>
          <w:lang w:eastAsia="en-US"/>
        </w:rPr>
      </w:pPr>
      <w:r>
        <w:rPr>
          <w:sz w:val="24"/>
          <w:lang w:eastAsia="en-US"/>
        </w:rPr>
      </w:r>
    </w:p>
    <w:p>
      <w:pPr>
        <w:pStyle w:val="Normal"/>
        <w:numPr>
          <w:ilvl w:val="0"/>
          <w:numId w:val="2"/>
        </w:numPr>
        <w:tabs>
          <w:tab w:val="left" w:pos="720" w:leader="none"/>
        </w:tabs>
        <w:ind w:hanging="540" w:start="720" w:end="0"/>
        <w:jc w:val="both"/>
        <w:rPr>
          <w:sz w:val="24"/>
          <w:lang w:eastAsia="en-US"/>
        </w:rPr>
      </w:pPr>
      <w:r>
        <w:rPr>
          <w:sz w:val="24"/>
          <w:lang w:eastAsia="en-US"/>
        </w:rPr>
        <w:t>Section 153(c) -- Stranded Costs.  It appears that this provision, although permissive rather than mandatory, imposes a 50% cap on stranded cost recovery.  This cap does not  apply to States in which the State legislature has, before July 1, 2000, enacted a stranded cost recovery scheme.  First, this distinction seems arbitrary.  Second, as a drafting matter, the  exemption should apply equally to States in which a stranded cost recovery scheme has been adopted by the State regulatory commission, even if done so without the need for State legislative action.</w:t>
      </w:r>
    </w:p>
    <w:p>
      <w:pPr>
        <w:pStyle w:val="Normal"/>
        <w:tabs>
          <w:tab w:val="left" w:pos="720" w:leader="none"/>
        </w:tabs>
        <w:ind w:hanging="540" w:start="720" w:end="0"/>
        <w:jc w:val="both"/>
        <w:rPr>
          <w:sz w:val="24"/>
          <w:lang w:eastAsia="en-US"/>
        </w:rPr>
      </w:pPr>
      <w:r>
        <w:rPr>
          <w:sz w:val="24"/>
          <w:lang w:eastAsia="en-US"/>
        </w:rPr>
      </w:r>
    </w:p>
    <w:p>
      <w:pPr>
        <w:pStyle w:val="Normal"/>
        <w:tabs>
          <w:tab w:val="left" w:pos="720" w:leader="none"/>
        </w:tabs>
        <w:ind w:start="180" w:end="0"/>
        <w:jc w:val="both"/>
        <w:rPr>
          <w:sz w:val="24"/>
          <w:lang w:eastAsia="en-US"/>
        </w:rPr>
      </w:pPr>
      <w:r>
        <w:rPr>
          <w:sz w:val="24"/>
          <w:lang w:eastAsia="en-US"/>
        </w:rPr>
        <w:tab/>
        <w:t>Also, the 50% stranded cost recovery limitation would apply, as provided in Section 102, in new Section 210(m)(2)(A) of PURPA, to the recovery of the costs of power purchased from QFs.  If this limitation were applied to QFs, including QFs owned by Enron Corp. subsidiaries, the purchasing utilities would either invoke “regulatory-out” provisions, if they exist, so as to reduce payments to QFs, or would be inclined to reduce payments on other grounds, so as to avoid the “trapping” of costs – i.e., their making payments to the QFs which cannot be recovered through retail rates.  To avoid this result, this provision should be amended to provide for full recovery of payments for QFs under existing contracts.</w:t>
      </w:r>
    </w:p>
    <w:p>
      <w:pPr>
        <w:pStyle w:val="Normal"/>
        <w:tabs>
          <w:tab w:val="left" w:pos="720" w:leader="none"/>
        </w:tabs>
        <w:ind w:hanging="540" w:start="720" w:end="0"/>
        <w:jc w:val="both"/>
        <w:rPr>
          <w:sz w:val="24"/>
          <w:lang w:eastAsia="en-US"/>
        </w:rPr>
      </w:pPr>
      <w:r>
        <w:rPr>
          <w:sz w:val="24"/>
          <w:lang w:eastAsia="en-US"/>
        </w:rPr>
      </w:r>
    </w:p>
    <w:p>
      <w:pPr>
        <w:pStyle w:val="Normal"/>
        <w:numPr>
          <w:ilvl w:val="0"/>
          <w:numId w:val="2"/>
        </w:numPr>
        <w:tabs>
          <w:tab w:val="left" w:pos="720" w:leader="none"/>
        </w:tabs>
        <w:ind w:hanging="540" w:start="720" w:end="0"/>
        <w:jc w:val="both"/>
        <w:rPr>
          <w:sz w:val="24"/>
          <w:lang w:eastAsia="en-US"/>
        </w:rPr>
      </w:pPr>
      <w:r>
        <w:rPr>
          <w:sz w:val="24"/>
          <w:lang w:eastAsia="en-US"/>
        </w:rPr>
        <w:t>Section 102 – PURPA.  Section 210(m)(1) would repeal utility obligations to purchase from and sell to QFs.  The requirement to serve QFs has not been viewed as problematic, and thus should not be repealed.  Note that new QFs may be developed, which do not rely on the mandatory purchase provision, but nevertheless seek the regulatory exemptions provided to QFs, and thus will need to be able to obtain nondiscriminatory back-up power and other similar services.</w:t>
      </w:r>
    </w:p>
    <w:p>
      <w:pPr>
        <w:pStyle w:val="Normal"/>
        <w:tabs>
          <w:tab w:val="left" w:pos="720" w:leader="none"/>
        </w:tabs>
        <w:ind w:hanging="540" w:start="720" w:end="0"/>
        <w:jc w:val="both"/>
        <w:rPr>
          <w:sz w:val="24"/>
          <w:lang w:eastAsia="en-US"/>
        </w:rPr>
      </w:pPr>
      <w:r>
        <w:rPr>
          <w:sz w:val="24"/>
          <w:lang w:eastAsia="en-US"/>
        </w:rPr>
      </w:r>
    </w:p>
    <w:p>
      <w:pPr>
        <w:pStyle w:val="Normal"/>
        <w:tabs>
          <w:tab w:val="left" w:pos="720" w:leader="none"/>
        </w:tabs>
        <w:ind w:hanging="540" w:start="720" w:end="0"/>
        <w:jc w:val="both"/>
        <w:rPr>
          <w:sz w:val="24"/>
          <w:lang w:eastAsia="en-US"/>
        </w:rPr>
      </w:pPr>
      <w:r>
        <w:rPr>
          <w:sz w:val="24"/>
          <w:lang w:eastAsia="en-US"/>
        </w:rPr>
        <w:t>Section 210(m)(2)(A) is discussed above.</w:t>
      </w:r>
    </w:p>
    <w:p>
      <w:pPr>
        <w:pStyle w:val="Normal"/>
        <w:tabs>
          <w:tab w:val="left" w:pos="720" w:leader="none"/>
        </w:tabs>
        <w:ind w:hanging="540" w:start="720" w:end="0"/>
        <w:jc w:val="both"/>
        <w:rPr>
          <w:sz w:val="24"/>
          <w:lang w:eastAsia="en-US"/>
        </w:rPr>
      </w:pPr>
      <w:r>
        <w:rPr>
          <w:sz w:val="24"/>
          <w:lang w:eastAsia="en-US"/>
        </w:rPr>
      </w:r>
    </w:p>
    <w:p>
      <w:pPr>
        <w:pStyle w:val="Normal"/>
        <w:tabs>
          <w:tab w:val="left" w:pos="720" w:leader="none"/>
          <w:tab w:val="left" w:pos="1080" w:leader="none"/>
        </w:tabs>
        <w:ind w:start="180" w:end="0"/>
        <w:jc w:val="both"/>
        <w:rPr>
          <w:sz w:val="24"/>
          <w:lang w:eastAsia="en-US"/>
        </w:rPr>
      </w:pPr>
      <w:r>
        <w:rPr>
          <w:sz w:val="24"/>
          <w:lang w:eastAsia="en-US"/>
        </w:rPr>
        <w:tab/>
        <w:t>Section 210(m)(2)(B) would render voidable QF contracts which exceed 150% of the “prevailing” market price during calendar year 2000, on the fifth anniversary of the enactment of this Bill.  This approach could adversely affect projects owned by Enron Corp. affiliates which have power purchase agreements which happen, in year 2000, to exceed the 150% standard.  Note further that the provision applies also to “sale” contracts – i.e., contracts in which a utility sells back-up and other power to a QF – meaning that because the utility is charging over-market prices for back-up power in year 2000, it can void the QF’s contract five years from now.</w:t>
      </w:r>
    </w:p>
    <w:p>
      <w:pPr>
        <w:pStyle w:val="Normal"/>
        <w:tabs>
          <w:tab w:val="left" w:pos="720" w:leader="none"/>
          <w:tab w:val="left" w:pos="1080" w:leader="none"/>
        </w:tabs>
        <w:ind w:start="180" w:end="0"/>
        <w:jc w:val="both"/>
        <w:rPr>
          <w:sz w:val="24"/>
          <w:lang w:eastAsia="en-US"/>
        </w:rPr>
      </w:pPr>
      <w:r>
        <w:rPr>
          <w:sz w:val="24"/>
          <w:lang w:eastAsia="en-US"/>
        </w:rPr>
      </w:r>
    </w:p>
    <w:p>
      <w:pPr>
        <w:pStyle w:val="Normal"/>
        <w:tabs>
          <w:tab w:val="left" w:pos="720" w:leader="none"/>
        </w:tabs>
        <w:ind w:hanging="540" w:start="720" w:end="0"/>
        <w:jc w:val="both"/>
        <w:rPr>
          <w:sz w:val="24"/>
          <w:lang w:eastAsia="en-US"/>
        </w:rPr>
      </w:pPr>
      <w:r>
        <w:rPr>
          <w:sz w:val="24"/>
          <w:lang w:eastAsia="en-US"/>
        </w:rPr>
      </w:r>
    </w:p>
    <w:p>
      <w:pPr>
        <w:pStyle w:val="Normal"/>
        <w:tabs>
          <w:tab w:val="left" w:pos="720" w:leader="none"/>
        </w:tabs>
        <w:ind w:hanging="540" w:start="720" w:end="0"/>
        <w:jc w:val="both"/>
        <w:rPr>
          <w:sz w:val="24"/>
          <w:lang w:eastAsia="en-US"/>
        </w:rPr>
      </w:pPr>
      <w:r>
        <w:rPr>
          <w:sz w:val="24"/>
          <w:lang w:eastAsia="en-US"/>
        </w:rPr>
        <w:t>5.</w:t>
        <w:tab/>
        <w:t>Section 103 -- Reliability and Interstate Transmission.  This section grants FERC jurisdiction over bundled transmission, which is consistent with Enron’s goals.  However, it does not expand FERC’s obligation to eliminate discrimination in favor of native load or otherwise in favor of bundled transmission service.  It is true that by granting FERC jurisdiction over bundled transmission, such transmission must satisfy the existing Section 206 prohibition on “unduly discriminatory” rates.  However, the FERC  can nevertheless find that discrimination in favor of bundled transmission is not “undue,” but rather reflects a reasonable differentiation because, under this thesis, transmission lines were originally build and paid for by retail customers.  To accomplish the goal of  preventing discrimination in favor of bundled service, additional language so providing must be added to Section 206 of the Federal Power Act.</w:t>
      </w:r>
    </w:p>
    <w:p>
      <w:pPr>
        <w:pStyle w:val="Normal"/>
        <w:tabs>
          <w:tab w:val="left" w:pos="720" w:leader="none"/>
        </w:tabs>
        <w:ind w:hanging="540" w:start="720" w:end="0"/>
        <w:jc w:val="both"/>
        <w:rPr>
          <w:sz w:val="24"/>
          <w:lang w:eastAsia="en-US"/>
        </w:rPr>
      </w:pPr>
      <w:r>
        <w:rPr>
          <w:sz w:val="24"/>
          <w:lang w:eastAsia="en-US"/>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rPr>
        <w:sz w:val="16"/>
      </w:rPr>
    </w:pPr>
    <w:r>
      <w:rPr>
        <w:sz w:val="16"/>
      </w:rPr>
      <w:t>DC:84988 v 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3"/>
      <w:numFmt w:val="decimal"/>
      <w:lvlText w:val="%1."/>
      <w:lvlJc w:val="start"/>
      <w:pPr>
        <w:tabs>
          <w:tab w:val="num" w:pos="360"/>
        </w:tabs>
        <w:ind w:start="36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2000-04-27T19:33:00Z</dcterms:created>
  <dc:creator>Vinson &amp; Elkins L.L.P.</dc:creator>
  <dc:description/>
  <dc:language>en-CA</dc:language>
  <cp:lastModifiedBy>Vinson &amp; Elkins L.L.P.</cp:lastModifiedBy>
  <cp:lastPrinted>2000-04-27T17:45:00Z</cp:lastPrinted>
  <dcterms:modified xsi:type="dcterms:W3CDTF">2000-04-27T19:33:00Z</dcterms:modified>
  <cp:revision>2</cp:revision>
  <dc:subject/>
  <dc:title>The following are my comments regarding the draft Gramm-Schumer Electricity Bill:</dc:title>
</cp:coreProperties>
</file>