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center"/>
        <w:rPr>
          <w:b/>
          <w:bCs/>
          <w:u w:val="single"/>
        </w:rPr>
      </w:pPr>
      <w:r>
        <w:rPr>
          <w:b/>
          <w:bCs/>
          <w:u w:val="single"/>
        </w:rPr>
        <w:t>SUMMARY OF GPG IMBALANCE PROVISIONS &amp; PENALTIES</w:t>
      </w:r>
    </w:p>
    <w:p>
      <w:pPr>
        <w:pStyle w:val="Normal"/>
        <w:spacing w:lineRule="atLeast" w:line="240"/>
        <w:rPr>
          <w:b/>
          <w:bCs/>
          <w:u w:val="single"/>
        </w:rPr>
      </w:pPr>
      <w:r>
        <w:rPr>
          <w:b/>
          <w:bCs/>
          <w:u w:val="single"/>
        </w:rPr>
      </w:r>
    </w:p>
    <w:p>
      <w:pPr>
        <w:pStyle w:val="Normal"/>
        <w:spacing w:lineRule="atLeast" w:line="240"/>
        <w:rPr/>
      </w:pPr>
      <w:r>
        <w:rPr/>
      </w:r>
    </w:p>
    <w:p>
      <w:pPr>
        <w:pStyle w:val="Normal"/>
        <w:pBdr>
          <w:top w:val="single" w:sz="6" w:space="1" w:color="000000"/>
          <w:left w:val="single" w:sz="6" w:space="4" w:color="000000"/>
          <w:bottom w:val="single" w:sz="6" w:space="1" w:color="000000"/>
          <w:right w:val="single" w:sz="6" w:space="4" w:color="000000"/>
        </w:pBdr>
        <w:shd w:fill="CCCCCC" w:val="clear"/>
        <w:spacing w:lineRule="atLeast" w:line="240"/>
        <w:jc w:val="center"/>
        <w:rPr>
          <w:b/>
          <w:bCs/>
          <w:color w:val="000000"/>
        </w:rPr>
      </w:pPr>
      <w:r>
        <w:rPr>
          <w:b/>
          <w:bCs/>
          <w:color w:val="000000"/>
        </w:rPr>
        <w:t>NORTHERN</w:t>
      </w:r>
    </w:p>
    <w:p>
      <w:pPr>
        <w:pStyle w:val="Normal"/>
        <w:spacing w:lineRule="atLeast" w:line="240"/>
        <w:rPr>
          <w:b/>
          <w:bCs/>
          <w:color w:val="800080"/>
        </w:rPr>
      </w:pPr>
      <w:r>
        <w:rPr>
          <w:b/>
          <w:bCs/>
          <w:color w:val="800080"/>
        </w:rPr>
      </w:r>
    </w:p>
    <w:p>
      <w:pPr>
        <w:pStyle w:val="Normal"/>
        <w:spacing w:lineRule="atLeast" w:line="240"/>
        <w:rPr/>
      </w:pPr>
      <w:r>
        <w:rPr>
          <w:b/>
          <w:bCs/>
          <w:color w:val="000000"/>
        </w:rPr>
        <w:t>IMBALANCES</w:t>
      </w:r>
      <w:r>
        <w:rPr>
          <w:color w:val="000000"/>
        </w:rPr>
        <w:t xml:space="preserve"> - Northern's Tariff Sheet Nos. 267-269A</w:t>
      </w:r>
    </w:p>
    <w:p>
      <w:pPr>
        <w:pStyle w:val="Normal"/>
        <w:spacing w:lineRule="atLeast" w:line="240"/>
        <w:rPr>
          <w:color w:val="000000"/>
        </w:rPr>
      </w:pPr>
      <w:r>
        <w:rPr>
          <w:color w:val="000000"/>
        </w:rPr>
        <w:t>Northern defines imbalance as the volumetric difference between actual receipts and actual deliveries (unlike Florida that views imbalance as the difference between actual and scheduled volumes at a single point).  Northern has mandatory cash-in/cash-out for Shippers on a monthly basis, as follows:   (Not mandatory for OBAs)</w:t>
      </w:r>
    </w:p>
    <w:p>
      <w:pPr>
        <w:pStyle w:val="Normal"/>
        <w:spacing w:lineRule="atLeast" w:line="240"/>
        <w:rPr>
          <w:color w:val="000000"/>
        </w:rPr>
      </w:pPr>
      <w:r>
        <w:rPr>
          <w:color w:val="000000"/>
        </w:rPr>
      </w:r>
    </w:p>
    <w:p>
      <w:pPr>
        <w:pStyle w:val="Normal"/>
        <w:spacing w:lineRule="atLeast" w:line="240"/>
        <w:rPr/>
      </w:pPr>
      <w:r>
        <w:rPr>
          <w:color w:val="000000"/>
        </w:rPr>
        <w:t xml:space="preserve">The imbalance quantity for each month by legal entity is determined on a MMBtu basis and then a dollar valuation is determined using the imbalance quantity and the applicable </w:t>
      </w:r>
      <w:r>
        <w:rPr>
          <w:b/>
          <w:bCs/>
          <w:color w:val="000000"/>
          <w:u w:val="single"/>
        </w:rPr>
        <w:t>Monthly Index</w:t>
      </w:r>
      <w:r>
        <w:rPr>
          <w:color w:val="000000"/>
        </w:rPr>
        <w:t xml:space="preserve"> Price (MIP), as tiered for Imbalance Level.</w:t>
      </w:r>
    </w:p>
    <w:p>
      <w:pPr>
        <w:pStyle w:val="Normal"/>
        <w:spacing w:lineRule="atLeast" w:line="240"/>
        <w:rPr>
          <w:color w:val="000000"/>
        </w:rPr>
      </w:pPr>
      <w:r>
        <w:rPr>
          <w:color w:val="000000"/>
        </w:rPr>
      </w:r>
    </w:p>
    <w:p>
      <w:pPr>
        <w:pStyle w:val="Normal"/>
        <w:numPr>
          <w:ilvl w:val="0"/>
          <w:numId w:val="1"/>
        </w:numPr>
        <w:tabs>
          <w:tab w:val="clear" w:pos="720"/>
          <w:tab w:val="left" w:pos="0" w:leader="none"/>
        </w:tabs>
        <w:spacing w:lineRule="atLeast" w:line="240"/>
        <w:ind w:hanging="720" w:start="720" w:end="0"/>
        <w:rPr>
          <w:color w:val="000000"/>
        </w:rPr>
      </w:pPr>
      <w:r>
        <w:rPr>
          <w:color w:val="000000"/>
        </w:rPr>
        <w:t>Monthly Index Price:  As published in Gas Daily, one of two prices is utilized:  System-wide or Field Area only.</w:t>
      </w:r>
    </w:p>
    <w:p>
      <w:pPr>
        <w:pStyle w:val="Normal"/>
        <w:numPr>
          <w:ilvl w:val="0"/>
          <w:numId w:val="1"/>
        </w:numPr>
        <w:tabs>
          <w:tab w:val="clear" w:pos="720"/>
          <w:tab w:val="left" w:pos="0" w:leader="none"/>
        </w:tabs>
        <w:spacing w:lineRule="atLeast" w:line="240"/>
        <w:ind w:hanging="720" w:start="720" w:end="0"/>
        <w:rPr/>
      </w:pPr>
      <w:r>
        <w:rPr>
          <w:color w:val="000000"/>
        </w:rPr>
        <w:t xml:space="preserve">Imbalance Level:  Determined by dividing the legal entity's </w:t>
      </w:r>
      <w:r>
        <w:rPr>
          <w:b/>
          <w:bCs/>
          <w:color w:val="000000"/>
        </w:rPr>
        <w:t>monthly volumetric imbalance</w:t>
      </w:r>
      <w:r>
        <w:rPr>
          <w:color w:val="000000"/>
        </w:rPr>
        <w:t xml:space="preserve"> by its monthly deliveries.</w:t>
      </w:r>
    </w:p>
    <w:p>
      <w:pPr>
        <w:pStyle w:val="Normal"/>
        <w:numPr>
          <w:ilvl w:val="0"/>
          <w:numId w:val="0"/>
        </w:numPr>
        <w:spacing w:lineRule="atLeast" w:line="240"/>
        <w:ind w:hanging="0" w:start="0"/>
        <w:rPr>
          <w:color w:val="000000"/>
        </w:rPr>
      </w:pPr>
      <w:r>
        <w:rPr>
          <w:color w:val="000000"/>
        </w:rPr>
      </w:r>
    </w:p>
    <w:p>
      <w:pPr>
        <w:pStyle w:val="Normal"/>
        <w:numPr>
          <w:ilvl w:val="0"/>
          <w:numId w:val="0"/>
        </w:numPr>
        <w:spacing w:lineRule="atLeast" w:line="240"/>
        <w:ind w:hanging="0" w:start="0"/>
        <w:rPr>
          <w:color w:val="000000"/>
        </w:rPr>
      </w:pPr>
      <w:r>
        <w:rPr>
          <w:color w:val="000000"/>
        </w:rPr>
        <w:t>Imbalances are tiered in accordance with the following schedule, based upon whether the Shipper was short to the system (Due Northern) or long to the system (Due Shipper):</w:t>
      </w:r>
    </w:p>
    <w:p>
      <w:pPr>
        <w:pStyle w:val="Normal"/>
        <w:numPr>
          <w:ilvl w:val="0"/>
          <w:numId w:val="0"/>
        </w:numPr>
        <w:spacing w:lineRule="atLeast" w:line="240"/>
        <w:ind w:hanging="0" w:start="0"/>
        <w:rPr>
          <w:color w:val="000000"/>
        </w:rPr>
      </w:pPr>
      <w:r>
        <w:rPr>
          <w:color w:val="000000"/>
        </w:rPr>
      </w:r>
    </w:p>
    <w:p>
      <w:pPr>
        <w:pStyle w:val="Normal"/>
        <w:numPr>
          <w:ilvl w:val="0"/>
          <w:numId w:val="0"/>
        </w:numPr>
        <w:spacing w:lineRule="atLeast" w:line="240"/>
        <w:ind w:hanging="0" w:start="0"/>
        <w:rPr>
          <w:color w:val="000000"/>
          <w:u w:val="single"/>
        </w:rPr>
      </w:pPr>
      <w:r>
        <w:rPr>
          <w:color w:val="000000"/>
          <w:u w:val="single"/>
        </w:rPr>
        <w:t>Imbalance Level</w:t>
        <w:tab/>
        <w:tab/>
        <w:t>Due Northern</w:t>
        <w:tab/>
        <w:tab/>
        <w:t>Due Shipper</w:t>
      </w:r>
    </w:p>
    <w:p>
      <w:pPr>
        <w:pStyle w:val="Normal"/>
        <w:numPr>
          <w:ilvl w:val="0"/>
          <w:numId w:val="0"/>
        </w:numPr>
        <w:spacing w:lineRule="atLeast" w:line="240"/>
        <w:ind w:hanging="0" w:start="0"/>
        <w:rPr>
          <w:color w:val="000000"/>
        </w:rPr>
      </w:pPr>
      <w:r>
        <w:rPr>
          <w:color w:val="000000"/>
        </w:rPr>
        <w:t>0% - 3%</w:t>
        <w:tab/>
        <w:tab/>
        <w:tab/>
        <w:t>MIP * 1.00</w:t>
        <w:tab/>
        <w:tab/>
        <w:t>MIP * 1.00</w:t>
      </w:r>
    </w:p>
    <w:p>
      <w:pPr>
        <w:pStyle w:val="Normal"/>
        <w:numPr>
          <w:ilvl w:val="0"/>
          <w:numId w:val="0"/>
        </w:numPr>
        <w:spacing w:lineRule="atLeast" w:line="240"/>
        <w:ind w:hanging="0" w:start="0"/>
        <w:rPr>
          <w:color w:val="000000"/>
        </w:rPr>
      </w:pPr>
      <w:r>
        <w:rPr>
          <w:color w:val="000000"/>
        </w:rPr>
        <w:t>Greater than 3% up to 5%</w:t>
        <w:tab/>
        <w:t>MIP * 1.02</w:t>
        <w:tab/>
        <w:tab/>
        <w:t>MIP * 0.98</w:t>
      </w:r>
    </w:p>
    <w:p>
      <w:pPr>
        <w:pStyle w:val="Normal"/>
        <w:numPr>
          <w:ilvl w:val="0"/>
          <w:numId w:val="0"/>
        </w:numPr>
        <w:spacing w:lineRule="atLeast" w:line="240"/>
        <w:ind w:hanging="0" w:start="0"/>
        <w:rPr>
          <w:color w:val="000000"/>
        </w:rPr>
      </w:pPr>
      <w:r>
        <w:rPr>
          <w:color w:val="000000"/>
        </w:rPr>
        <w:t>Greater than 5% up to 10%</w:t>
        <w:tab/>
        <w:t>MIP * 1.10</w:t>
        <w:tab/>
        <w:tab/>
        <w:t>MIP * 0.90</w:t>
        <w:tab/>
        <w:tab/>
      </w:r>
    </w:p>
    <w:p>
      <w:pPr>
        <w:pStyle w:val="Normal"/>
        <w:numPr>
          <w:ilvl w:val="0"/>
          <w:numId w:val="0"/>
        </w:numPr>
        <w:spacing w:lineRule="atLeast" w:line="240"/>
        <w:ind w:hanging="0" w:start="0"/>
        <w:rPr>
          <w:color w:val="000000"/>
        </w:rPr>
      </w:pPr>
      <w:r>
        <w:rPr>
          <w:color w:val="000000"/>
        </w:rPr>
        <w:t>Greater than 10% up to 15%</w:t>
        <w:tab/>
        <w:t>MIP * 1.20</w:t>
        <w:tab/>
        <w:tab/>
        <w:t>MIP * 0.80</w:t>
        <w:tab/>
      </w:r>
    </w:p>
    <w:p>
      <w:pPr>
        <w:pStyle w:val="Normal"/>
        <w:numPr>
          <w:ilvl w:val="0"/>
          <w:numId w:val="0"/>
        </w:numPr>
        <w:spacing w:lineRule="atLeast" w:line="240"/>
        <w:ind w:hanging="0" w:start="0"/>
        <w:rPr>
          <w:color w:val="000000"/>
        </w:rPr>
      </w:pPr>
      <w:r>
        <w:rPr>
          <w:color w:val="000000"/>
        </w:rPr>
        <w:t>Greater than 15% up to 20%</w:t>
        <w:tab/>
        <w:t>MIP * 1.30</w:t>
        <w:tab/>
        <w:tab/>
        <w:t>MIP * 0.70</w:t>
      </w:r>
    </w:p>
    <w:p>
      <w:pPr>
        <w:pStyle w:val="Normal"/>
        <w:numPr>
          <w:ilvl w:val="0"/>
          <w:numId w:val="0"/>
        </w:numPr>
        <w:spacing w:lineRule="atLeast" w:line="240"/>
        <w:ind w:hanging="0" w:start="0"/>
        <w:rPr>
          <w:color w:val="000000"/>
        </w:rPr>
      </w:pPr>
      <w:r>
        <w:rPr>
          <w:color w:val="000000"/>
        </w:rPr>
        <w:t>Greater than 20%</w:t>
        <w:tab/>
        <w:tab/>
        <w:t>MIP * 1.40</w:t>
        <w:tab/>
        <w:tab/>
        <w:t>MIP * 0.60</w:t>
      </w:r>
    </w:p>
    <w:p>
      <w:pPr>
        <w:pStyle w:val="Normal"/>
        <w:numPr>
          <w:ilvl w:val="0"/>
          <w:numId w:val="0"/>
        </w:numPr>
        <w:spacing w:lineRule="atLeast" w:line="240"/>
        <w:ind w:hanging="0" w:start="0"/>
        <w:rPr>
          <w:color w:val="000000"/>
        </w:rPr>
      </w:pPr>
      <w:r>
        <w:rPr>
          <w:color w:val="000000"/>
        </w:rPr>
      </w:r>
    </w:p>
    <w:p>
      <w:pPr>
        <w:pStyle w:val="Normal"/>
        <w:numPr>
          <w:ilvl w:val="0"/>
          <w:numId w:val="0"/>
        </w:numPr>
        <w:spacing w:lineRule="atLeast" w:line="240"/>
        <w:ind w:hanging="0" w:start="0"/>
        <w:rPr>
          <w:color w:val="000000"/>
        </w:rPr>
      </w:pPr>
      <w:r>
        <w:rPr>
          <w:color w:val="000000"/>
        </w:rPr>
      </w:r>
    </w:p>
    <w:p>
      <w:pPr>
        <w:pStyle w:val="Normal"/>
        <w:numPr>
          <w:ilvl w:val="0"/>
          <w:numId w:val="0"/>
        </w:numPr>
        <w:spacing w:lineRule="atLeast" w:line="240"/>
        <w:ind w:hanging="0" w:start="0"/>
        <w:rPr>
          <w:b/>
          <w:bCs/>
          <w:color w:val="000000"/>
        </w:rPr>
      </w:pPr>
      <w:r>
        <w:rPr>
          <w:b/>
          <w:bCs/>
          <w:color w:val="000000"/>
        </w:rPr>
        <w:t xml:space="preserve">PENALTIES </w:t>
      </w:r>
    </w:p>
    <w:p>
      <w:pPr>
        <w:pStyle w:val="Normal"/>
        <w:numPr>
          <w:ilvl w:val="0"/>
          <w:numId w:val="1"/>
        </w:numPr>
        <w:tabs>
          <w:tab w:val="clear" w:pos="720"/>
          <w:tab w:val="left" w:pos="0" w:leader="none"/>
        </w:tabs>
        <w:spacing w:lineRule="atLeast" w:line="240"/>
        <w:ind w:hanging="720" w:start="720" w:end="0"/>
        <w:rPr>
          <w:color w:val="000000"/>
        </w:rPr>
      </w:pPr>
      <w:r>
        <w:rPr>
          <w:color w:val="000000"/>
        </w:rPr>
        <w:t>Daily Delivery Variance Charges (DDVC) - Northern's Tariff Sheet Nos. 53 and 290-292ADDVCs are penalties based upon the daily variance at the delivery point between scheduled and actual volumes.  The applicable tolerance and penalty amount vary depending on whether a SOL, SUL or Critical Day has been called, and the amount and direction (over- or under-takes) of variance between  scheduled and actual volumes.</w:t>
      </w:r>
    </w:p>
    <w:p>
      <w:pPr>
        <w:pStyle w:val="Normal"/>
        <w:numPr>
          <w:ilvl w:val="0"/>
          <w:numId w:val="1"/>
        </w:numPr>
        <w:tabs>
          <w:tab w:val="clear" w:pos="720"/>
          <w:tab w:val="left" w:pos="0" w:leader="none"/>
        </w:tabs>
        <w:spacing w:lineRule="atLeast" w:line="240"/>
        <w:ind w:hanging="360" w:start="720" w:end="0"/>
        <w:rPr>
          <w:color w:val="000000"/>
        </w:rPr>
      </w:pPr>
      <w:r>
        <w:rPr>
          <w:color w:val="000000"/>
        </w:rPr>
        <w:t xml:space="preserve">Receipt Point Scheduling Penalties - Northern's Tariff Sheet No. 266 Receipt point scheduling penalties are typically based upon the monthly variance between scheduled and actual quantities of gas received by Northern at all points of receipt under each legal entity's Service Agreement(s) in excess of a 10% tolerance.  However, Northern has the right, upon notice, to implement higher penalties and lower tolerance  under certain circumstances and at specific point(s) or area(s). </w:t>
      </w:r>
      <w:r>
        <w:br w:type="page"/>
      </w:r>
    </w:p>
    <w:p>
      <w:pPr>
        <w:pStyle w:val="Normal"/>
        <w:spacing w:lineRule="atLeast" w:line="240"/>
        <w:rPr>
          <w:color w:val="000000"/>
        </w:rPr>
      </w:pPr>
      <w:r>
        <w:rPr>
          <w:color w:val="000000"/>
        </w:rPr>
      </w:r>
    </w:p>
    <w:p>
      <w:pPr>
        <w:pStyle w:val="Normal"/>
        <w:spacing w:lineRule="atLeast" w:line="240"/>
        <w:rPr/>
      </w:pPr>
      <w:r>
        <w:rPr>
          <w:b/>
          <w:bCs/>
          <w:color w:val="000000"/>
        </w:rPr>
        <w:t xml:space="preserve">OPERATIONAL FLOW ORDERS (OFO)-Carlton </w:t>
      </w:r>
      <w:r>
        <w:rPr>
          <w:color w:val="000000"/>
        </w:rPr>
        <w:t>- Northern's Tariff Sheet No. 263D</w:t>
      </w:r>
    </w:p>
    <w:p>
      <w:pPr>
        <w:pStyle w:val="Normal"/>
        <w:spacing w:lineRule="atLeast" w:line="240"/>
        <w:rPr>
          <w:color w:val="000000"/>
        </w:rPr>
      </w:pPr>
      <w:r>
        <w:rPr>
          <w:color w:val="000000"/>
        </w:rPr>
        <w:t>Northern has the right to require an increase or reduction of firm receipts at Carlton from certain shippers.  The penalty for failure to comply is $25.00/MMBtu.</w:t>
      </w:r>
    </w:p>
    <w:p>
      <w:pPr>
        <w:pStyle w:val="Normal"/>
        <w:spacing w:lineRule="atLeast" w:line="240"/>
        <w:rPr>
          <w:color w:val="000000"/>
        </w:rPr>
      </w:pPr>
      <w:r>
        <w:rPr>
          <w:color w:val="000000"/>
        </w:rPr>
      </w:r>
    </w:p>
    <w:p>
      <w:pPr>
        <w:pStyle w:val="Normal"/>
        <w:spacing w:lineRule="atLeast" w:line="240"/>
        <w:rPr>
          <w:color w:val="000000"/>
        </w:rPr>
      </w:pPr>
      <w:r>
        <w:rPr>
          <w:color w:val="000000"/>
        </w:rPr>
        <w:t xml:space="preserve">   </w:t>
      </w:r>
    </w:p>
    <w:p>
      <w:pPr>
        <w:pStyle w:val="Normal"/>
        <w:spacing w:lineRule="atLeast" w:line="240"/>
        <w:rPr>
          <w:color w:val="000000"/>
        </w:rPr>
      </w:pPr>
      <w:r>
        <w:rPr>
          <w:color w:val="000000"/>
        </w:rPr>
      </w:r>
    </w:p>
    <w:p>
      <w:pPr>
        <w:pStyle w:val="Normal"/>
        <w:pBdr>
          <w:top w:val="single" w:sz="6" w:space="1" w:color="000000"/>
          <w:left w:val="single" w:sz="6" w:space="4" w:color="000000"/>
          <w:bottom w:val="single" w:sz="6" w:space="1" w:color="000000"/>
          <w:right w:val="single" w:sz="6" w:space="4" w:color="000000"/>
        </w:pBdr>
        <w:shd w:fill="CCCCCC" w:val="clear"/>
        <w:spacing w:lineRule="atLeast" w:line="240"/>
        <w:jc w:val="center"/>
        <w:rPr>
          <w:b/>
          <w:bCs/>
          <w:color w:val="000000"/>
        </w:rPr>
      </w:pPr>
      <w:r>
        <w:rPr>
          <w:b/>
          <w:bCs/>
          <w:color w:val="000000"/>
        </w:rPr>
        <w:t>TRANSWESTERN</w:t>
      </w:r>
    </w:p>
    <w:p>
      <w:pPr>
        <w:pStyle w:val="Normal"/>
        <w:spacing w:lineRule="atLeast" w:line="240"/>
        <w:rPr>
          <w:b/>
          <w:bCs/>
          <w:color w:val="000000"/>
        </w:rPr>
      </w:pPr>
      <w:r>
        <w:rPr>
          <w:b/>
          <w:bCs/>
          <w:color w:val="000000"/>
        </w:rPr>
      </w:r>
    </w:p>
    <w:p>
      <w:pPr>
        <w:pStyle w:val="Normal"/>
        <w:spacing w:lineRule="atLeast" w:line="240"/>
        <w:rPr>
          <w:b/>
          <w:bCs/>
          <w:color w:val="000000"/>
        </w:rPr>
      </w:pPr>
      <w:r>
        <w:rPr>
          <w:b/>
          <w:bCs/>
          <w:color w:val="000000"/>
        </w:rPr>
        <w:t>BALANCING</w:t>
      </w:r>
    </w:p>
    <w:p>
      <w:pPr>
        <w:pStyle w:val="Normal"/>
        <w:spacing w:lineRule="atLeast" w:line="240"/>
        <w:rPr/>
      </w:pPr>
      <w:r>
        <w:rPr>
          <w:color w:val="000000"/>
        </w:rPr>
        <w:t xml:space="preserve">Transwestern's Tariff requires all operators, except for customers under Rate Schedule FTS-2,  (small volume customers, farm-taps, etc.) to execute Operator Balancing Agreements (OBA's) covering all points on Transwestern's system. Imbalances, which are defined as differences between actual receipts and actual deliveries, are accumulated and recorded monthly in a shipper account based on the dollar value of the imbalance for that month. Imbalances may be resolved by payment on an "in-kind" or "cash-out" basis. </w:t>
      </w:r>
      <w:r>
        <w:rPr>
          <w:i/>
          <w:iCs/>
          <w:color w:val="000000"/>
        </w:rPr>
        <w:t>(Section 15, Tariff Sheet # 70 and Tariff Sheets #145-151 )</w:t>
      </w:r>
    </w:p>
    <w:p>
      <w:pPr>
        <w:pStyle w:val="Normal"/>
        <w:spacing w:lineRule="atLeast" w:line="240"/>
        <w:rPr>
          <w:i/>
          <w:i/>
          <w:iCs/>
          <w:color w:val="000000"/>
        </w:rPr>
      </w:pPr>
      <w:r>
        <w:rPr>
          <w:i/>
          <w:iCs/>
          <w:color w:val="000000"/>
        </w:rPr>
      </w:r>
    </w:p>
    <w:p>
      <w:pPr>
        <w:pStyle w:val="Normal"/>
        <w:spacing w:lineRule="atLeast" w:line="240"/>
        <w:rPr>
          <w:b/>
          <w:bCs/>
          <w:color w:val="000000"/>
        </w:rPr>
      </w:pPr>
      <w:r>
        <w:rPr>
          <w:b/>
          <w:bCs/>
          <w:color w:val="000000"/>
        </w:rPr>
        <w:t>PENALTIES</w:t>
      </w:r>
    </w:p>
    <w:p>
      <w:pPr>
        <w:pStyle w:val="Normal"/>
        <w:spacing w:lineRule="atLeast" w:line="240"/>
        <w:rPr/>
      </w:pPr>
      <w:r>
        <w:rPr>
          <w:color w:val="000000"/>
        </w:rPr>
        <w:t xml:space="preserve">The Operator will be assessed a penalty of 30 cents per dth (.30/dth) for volumes outside a 10% tolerance level and where the imbalance exceeds 10,000 dth. The Operator will be granted an automatic waiver for the </w:t>
      </w:r>
      <w:r>
        <w:rPr>
          <w:color w:val="000000"/>
          <w:u w:val="single"/>
        </w:rPr>
        <w:t>first</w:t>
      </w:r>
      <w:r>
        <w:rPr>
          <w:color w:val="000000"/>
        </w:rPr>
        <w:t xml:space="preserve"> outside-tolerance month in any given six-month period. </w:t>
      </w:r>
    </w:p>
    <w:p>
      <w:pPr>
        <w:pStyle w:val="Normal"/>
        <w:spacing w:lineRule="atLeast" w:line="240"/>
        <w:rPr>
          <w:i/>
          <w:i/>
          <w:iCs/>
          <w:color w:val="000000"/>
        </w:rPr>
      </w:pPr>
      <w:r>
        <w:rPr>
          <w:i/>
          <w:iCs/>
          <w:color w:val="000000"/>
        </w:rPr>
        <w:t>(Section 6, Tariff Sheet # 149)</w:t>
      </w:r>
    </w:p>
    <w:p>
      <w:pPr>
        <w:pStyle w:val="Normal"/>
        <w:spacing w:lineRule="atLeast" w:line="240"/>
        <w:rPr>
          <w:color w:val="000000"/>
        </w:rPr>
      </w:pPr>
      <w:r>
        <w:rPr>
          <w:color w:val="000000"/>
        </w:rPr>
        <w:t xml:space="preserve">     </w:t>
      </w:r>
      <w:r>
        <w:rPr>
          <w:color w:val="000000"/>
        </w:rPr>
        <w:tab/>
        <w:t xml:space="preserve">     </w:t>
      </w:r>
    </w:p>
    <w:p>
      <w:pPr>
        <w:pStyle w:val="Normal"/>
        <w:spacing w:lineRule="atLeast" w:line="240"/>
        <w:rPr>
          <w:b/>
          <w:bCs/>
          <w:color w:val="000000"/>
        </w:rPr>
      </w:pPr>
      <w:r>
        <w:rPr>
          <w:b/>
          <w:bCs/>
          <w:color w:val="000000"/>
        </w:rPr>
        <w:t>ALERT DAY</w:t>
      </w:r>
    </w:p>
    <w:p>
      <w:pPr>
        <w:pStyle w:val="Normal"/>
        <w:spacing w:lineRule="atLeast" w:line="240"/>
        <w:rPr>
          <w:color w:val="000000"/>
        </w:rPr>
      </w:pPr>
      <w:r>
        <w:rPr>
          <w:color w:val="000000"/>
        </w:rPr>
        <w:t xml:space="preserve">In the event of operational distress, Transwestern may declare an Alert Day by notifying the operator via its EBB and by Fax or phone, at least 24 hours preceding the start of an Alert Day. Such notice will include the estimated duration of the Alert Day condition and to what areas and to which operators it applies. </w:t>
      </w:r>
    </w:p>
    <w:p>
      <w:pPr>
        <w:pStyle w:val="Normal"/>
        <w:spacing w:lineRule="atLeast" w:line="240"/>
        <w:rPr>
          <w:color w:val="000000"/>
        </w:rPr>
      </w:pPr>
      <w:r>
        <w:rPr>
          <w:color w:val="000000"/>
        </w:rPr>
      </w:r>
    </w:p>
    <w:p>
      <w:pPr>
        <w:pStyle w:val="Normal"/>
        <w:spacing w:lineRule="atLeast" w:line="240"/>
        <w:rPr/>
      </w:pPr>
      <w:r>
        <w:rPr>
          <w:b/>
          <w:bCs/>
          <w:color w:val="000000"/>
        </w:rPr>
        <w:t>PENALTIES</w:t>
      </w:r>
      <w:r>
        <w:rPr>
          <w:color w:val="000000"/>
        </w:rPr>
        <w:t xml:space="preserve"> - Penalties for non compliance with the Alert Day declaration are either $5.00 per dth or $10.00 per dth depending on the variance level between scheduled volumes and actual volumes. </w:t>
      </w:r>
      <w:r>
        <w:rPr>
          <w:i/>
          <w:iCs/>
          <w:color w:val="000000"/>
        </w:rPr>
        <w:t>(Section 22D, Tariff Sheet # 81D)</w:t>
      </w:r>
    </w:p>
    <w:p>
      <w:pPr>
        <w:pStyle w:val="Normal"/>
        <w:spacing w:lineRule="atLeast" w:line="240"/>
        <w:rPr>
          <w:color w:val="000000"/>
        </w:rPr>
      </w:pPr>
      <w:r>
        <w:rPr>
          <w:color w:val="000000"/>
        </w:rPr>
        <w:tab/>
      </w:r>
    </w:p>
    <w:p>
      <w:pPr>
        <w:pStyle w:val="Normal"/>
        <w:spacing w:lineRule="atLeast" w:line="240"/>
        <w:rPr>
          <w:b/>
          <w:bCs/>
          <w:color w:val="000000"/>
        </w:rPr>
      </w:pPr>
      <w:r>
        <w:rPr>
          <w:b/>
          <w:bCs/>
          <w:color w:val="000000"/>
        </w:rPr>
        <w:t>OFO</w:t>
      </w:r>
    </w:p>
    <w:p>
      <w:pPr>
        <w:pStyle w:val="Normal"/>
        <w:spacing w:lineRule="atLeast" w:line="240"/>
        <w:rPr>
          <w:color w:val="000000"/>
        </w:rPr>
      </w:pPr>
      <w:r>
        <w:rPr>
          <w:color w:val="000000"/>
        </w:rPr>
        <w:t>Transwestern will issue an Operational Flow Order (OFO) during times of operational distress.</w:t>
      </w:r>
    </w:p>
    <w:p>
      <w:pPr>
        <w:pStyle w:val="Normal"/>
        <w:spacing w:lineRule="atLeast" w:line="240"/>
        <w:rPr>
          <w:i/>
          <w:i/>
          <w:iCs/>
          <w:color w:val="000000"/>
        </w:rPr>
      </w:pPr>
      <w:r>
        <w:rPr>
          <w:i/>
          <w:iCs/>
          <w:color w:val="000000"/>
        </w:rPr>
        <w:t>(Section 22.3, Tariff Sheet # 81C)</w:t>
      </w:r>
    </w:p>
    <w:p>
      <w:pPr>
        <w:pStyle w:val="Normal"/>
        <w:spacing w:lineRule="atLeast" w:line="240"/>
        <w:rPr>
          <w:i/>
          <w:i/>
          <w:iCs/>
          <w:color w:val="000000"/>
        </w:rPr>
      </w:pPr>
      <w:r>
        <w:rPr>
          <w:i/>
          <w:iCs/>
          <w:color w:val="000000"/>
        </w:rPr>
      </w:r>
      <w:r>
        <w:br w:type="page"/>
      </w:r>
    </w:p>
    <w:p>
      <w:pPr>
        <w:pStyle w:val="Normal"/>
        <w:spacing w:lineRule="atLeast" w:line="240"/>
        <w:rPr>
          <w:i/>
          <w:i/>
          <w:iCs/>
          <w:color w:val="000000"/>
        </w:rPr>
      </w:pPr>
      <w:r>
        <w:rPr>
          <w:i/>
          <w:iCs/>
          <w:color w:val="000000"/>
        </w:rPr>
      </w:r>
    </w:p>
    <w:p>
      <w:pPr>
        <w:pStyle w:val="Normal"/>
        <w:pBdr>
          <w:top w:val="single" w:sz="6" w:space="1" w:color="000000"/>
          <w:left w:val="single" w:sz="6" w:space="4" w:color="000000"/>
          <w:bottom w:val="single" w:sz="6" w:space="1" w:color="000000"/>
          <w:right w:val="single" w:sz="6" w:space="4" w:color="000000"/>
        </w:pBdr>
        <w:shd w:fill="CCCCCC" w:val="clear"/>
        <w:spacing w:lineRule="atLeast" w:line="240"/>
        <w:jc w:val="center"/>
        <w:rPr>
          <w:b/>
          <w:bCs/>
          <w:color w:val="000000"/>
        </w:rPr>
      </w:pPr>
      <w:r>
        <w:rPr>
          <w:b/>
          <w:bCs/>
          <w:color w:val="000000"/>
        </w:rPr>
        <w:t>FGT</w:t>
      </w:r>
    </w:p>
    <w:p>
      <w:pPr>
        <w:pStyle w:val="Normal"/>
        <w:spacing w:lineRule="atLeast" w:line="240"/>
        <w:rPr>
          <w:b/>
          <w:bCs/>
          <w:i/>
          <w:i/>
          <w:iCs/>
          <w:color w:val="000000"/>
        </w:rPr>
      </w:pPr>
      <w:r>
        <w:rPr>
          <w:b/>
          <w:bCs/>
          <w:i/>
          <w:iCs/>
          <w:color w:val="000000"/>
        </w:rPr>
      </w:r>
    </w:p>
    <w:p>
      <w:pPr>
        <w:pStyle w:val="Normal"/>
        <w:spacing w:lineRule="atLeast" w:line="240"/>
        <w:rPr/>
      </w:pPr>
      <w:r>
        <w:rPr>
          <w:b/>
          <w:bCs/>
          <w:color w:val="000000"/>
        </w:rPr>
        <w:t xml:space="preserve">IMBALANCES:  </w:t>
      </w:r>
      <w:r>
        <w:rPr>
          <w:color w:val="000000"/>
        </w:rPr>
        <w:t xml:space="preserve">FGT cash in/out in a </w:t>
      </w:r>
      <w:r>
        <w:rPr>
          <w:b/>
          <w:bCs/>
          <w:color w:val="000000"/>
        </w:rPr>
        <w:t>monthly basis</w:t>
      </w:r>
      <w:r>
        <w:rPr>
          <w:color w:val="000000"/>
        </w:rPr>
        <w:t>, and the rate used is as follow:</w:t>
      </w:r>
    </w:p>
    <w:p>
      <w:pPr>
        <w:pStyle w:val="Normal"/>
        <w:spacing w:lineRule="atLeast" w:line="240"/>
        <w:rPr>
          <w:color w:val="000000"/>
        </w:rPr>
      </w:pPr>
      <w:r>
        <w:rPr>
          <w:color w:val="000000"/>
        </w:rPr>
        <w:t xml:space="preserve">     </w:t>
      </w:r>
      <w:r>
        <w:rPr>
          <w:color w:val="000000"/>
        </w:rPr>
        <w:t>Cash out:   The lowest of the index price - Average of the month</w:t>
      </w:r>
    </w:p>
    <w:p>
      <w:pPr>
        <w:pStyle w:val="Normal"/>
        <w:spacing w:lineRule="atLeast" w:line="240"/>
        <w:rPr>
          <w:color w:val="000000"/>
        </w:rPr>
      </w:pPr>
      <w:r>
        <w:rPr>
          <w:color w:val="000000"/>
        </w:rPr>
        <w:t xml:space="preserve">     </w:t>
      </w:r>
      <w:r>
        <w:rPr>
          <w:color w:val="000000"/>
        </w:rPr>
        <w:t>Cash In   :   The highest of the index price - Average of the month</w:t>
      </w:r>
    </w:p>
    <w:p>
      <w:pPr>
        <w:pStyle w:val="Normal"/>
        <w:spacing w:lineRule="atLeast" w:line="240"/>
        <w:rPr>
          <w:color w:val="000000"/>
        </w:rPr>
      </w:pPr>
      <w:r>
        <w:rPr>
          <w:color w:val="000000"/>
        </w:rPr>
      </w:r>
    </w:p>
    <w:p>
      <w:pPr>
        <w:pStyle w:val="Normal"/>
        <w:spacing w:lineRule="atLeast" w:line="240"/>
        <w:rPr>
          <w:color w:val="000000"/>
        </w:rPr>
      </w:pPr>
      <w:r>
        <w:rPr>
          <w:color w:val="000000"/>
        </w:rPr>
        <w:t xml:space="preserve">Shippers can trade their imbalances and FGT will post the transactions after receiving the bookout forms. Any imbalance left will be cashout with the pipeline. </w:t>
      </w:r>
    </w:p>
    <w:p>
      <w:pPr>
        <w:pStyle w:val="Normal"/>
        <w:spacing w:lineRule="atLeast" w:line="240"/>
        <w:rPr>
          <w:color w:val="000000"/>
        </w:rPr>
      </w:pPr>
      <w:r>
        <w:rPr>
          <w:color w:val="000000"/>
        </w:rPr>
        <w:t xml:space="preserve">   </w:t>
      </w:r>
    </w:p>
    <w:p>
      <w:pPr>
        <w:pStyle w:val="Normal"/>
        <w:spacing w:lineRule="atLeast" w:line="240"/>
        <w:rPr>
          <w:b/>
          <w:bCs/>
          <w:color w:val="000000"/>
          <w:u w:val="single"/>
        </w:rPr>
      </w:pPr>
      <w:r>
        <w:rPr>
          <w:b/>
          <w:bCs/>
          <w:color w:val="000000"/>
          <w:u w:val="single"/>
        </w:rPr>
        <w:t>Alert day</w:t>
      </w:r>
    </w:p>
    <w:p>
      <w:pPr>
        <w:pStyle w:val="Normal"/>
        <w:spacing w:lineRule="atLeast" w:line="240"/>
        <w:rPr>
          <w:color w:val="000000"/>
        </w:rPr>
      </w:pPr>
      <w:r>
        <w:rPr>
          <w:color w:val="000000"/>
        </w:rPr>
        <w:t>FGT post its alert day in the WEB notifying its customer the effective day and the percentage tolerance.  FGT will assess penalties and transportation charges  to the operators that are not in compliance. Percentage tolerance is given by FGT at its discretion.</w:t>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b/>
          <w:bCs/>
          <w:color w:val="000000"/>
          <w:u w:val="single"/>
        </w:rPr>
      </w:pPr>
      <w:r>
        <w:rPr>
          <w:b/>
          <w:bCs/>
          <w:color w:val="000000"/>
          <w:u w:val="single"/>
        </w:rPr>
        <w:t>OFO</w:t>
      </w:r>
    </w:p>
    <w:p>
      <w:pPr>
        <w:pStyle w:val="Normal"/>
        <w:spacing w:lineRule="atLeast" w:line="240"/>
        <w:rPr>
          <w:color w:val="000000"/>
        </w:rPr>
      </w:pPr>
      <w:r>
        <w:rPr>
          <w:color w:val="000000"/>
        </w:rPr>
        <w:t xml:space="preserve">FGT will issue OFO within the time allowed by tariff and notify specific operators  by phone and fax them the OFO form indicating the effective day,  contract number and the penalty to be  assessed. The penalty is $10 per mmbtu, besides the applicable imbalance charges. </w:t>
      </w:r>
    </w:p>
    <w:p>
      <w:pPr>
        <w:pStyle w:val="Normal"/>
        <w:spacing w:lineRule="atLeast" w:line="240"/>
        <w:rPr>
          <w:color w:val="000000"/>
        </w:rPr>
      </w:pPr>
      <w:r>
        <w:rPr>
          <w:color w:val="000000"/>
        </w:rPr>
      </w:r>
    </w:p>
    <w:p>
      <w:pPr>
        <w:pStyle w:val="Normal"/>
        <w:spacing w:lineRule="atLeast" w:line="240"/>
        <w:rPr>
          <w:i/>
          <w:i/>
          <w:iCs/>
          <w:color w:val="000000"/>
        </w:rPr>
      </w:pPr>
      <w:r>
        <w:rPr>
          <w:i/>
          <w:iCs/>
          <w:color w:val="000000"/>
        </w:rPr>
      </w:r>
    </w:p>
    <w:p>
      <w:pPr>
        <w:pStyle w:val="Normal"/>
        <w:pBdr>
          <w:top w:val="single" w:sz="6" w:space="1" w:color="000000"/>
          <w:left w:val="single" w:sz="6" w:space="4" w:color="000000"/>
          <w:bottom w:val="single" w:sz="6" w:space="1" w:color="000000"/>
          <w:right w:val="single" w:sz="6" w:space="4" w:color="000000"/>
        </w:pBdr>
        <w:shd w:fill="CCCCCC" w:val="clear"/>
        <w:spacing w:lineRule="atLeast" w:line="240"/>
        <w:jc w:val="center"/>
        <w:rPr>
          <w:b/>
          <w:bCs/>
          <w:color w:val="000000"/>
        </w:rPr>
      </w:pPr>
      <w:r>
        <w:rPr>
          <w:b/>
          <w:bCs/>
          <w:color w:val="000000"/>
        </w:rPr>
        <w:t>NORTHERN BORDER</w:t>
      </w:r>
    </w:p>
    <w:p>
      <w:pPr>
        <w:pStyle w:val="Normal"/>
        <w:spacing w:lineRule="atLeast" w:line="240"/>
        <w:rPr>
          <w:b/>
          <w:bCs/>
          <w:i/>
          <w:i/>
          <w:iCs/>
          <w:color w:val="000000"/>
        </w:rPr>
      </w:pPr>
      <w:r>
        <w:rPr>
          <w:b/>
          <w:bCs/>
          <w:i/>
          <w:iCs/>
          <w:color w:val="000000"/>
        </w:rPr>
      </w:r>
    </w:p>
    <w:p>
      <w:pPr>
        <w:pStyle w:val="Normal"/>
        <w:spacing w:lineRule="atLeast" w:line="240"/>
        <w:rPr>
          <w:i/>
          <w:i/>
          <w:iCs/>
          <w:color w:val="000000"/>
        </w:rPr>
      </w:pPr>
      <w:r>
        <w:rPr>
          <w:i/>
          <w:iCs/>
          <w:color w:val="000000"/>
        </w:rPr>
      </w:r>
    </w:p>
    <w:p>
      <w:pPr>
        <w:pStyle w:val="Normal"/>
        <w:spacing w:lineRule="atLeast" w:line="240"/>
        <w:rPr>
          <w:b/>
          <w:bCs/>
          <w:color w:val="000000"/>
        </w:rPr>
      </w:pPr>
      <w:r>
        <w:rPr>
          <w:b/>
          <w:bCs/>
          <w:color w:val="000000"/>
        </w:rPr>
        <w:t>Imbalances</w:t>
      </w:r>
    </w:p>
    <w:p>
      <w:pPr>
        <w:pStyle w:val="Normal"/>
        <w:spacing w:lineRule="atLeast" w:line="240"/>
        <w:rPr>
          <w:b/>
          <w:bCs/>
          <w:color w:val="000000"/>
        </w:rPr>
      </w:pPr>
      <w:r>
        <w:rPr>
          <w:b/>
          <w:bCs/>
          <w:color w:val="000000"/>
        </w:rPr>
      </w:r>
    </w:p>
    <w:p>
      <w:pPr>
        <w:pStyle w:val="Normal"/>
        <w:spacing w:lineRule="atLeast" w:line="240"/>
        <w:rPr>
          <w:color w:val="000000"/>
        </w:rPr>
      </w:pPr>
      <w:r>
        <w:rPr>
          <w:color w:val="000000"/>
        </w:rPr>
        <w:t>Northern Border's scheduling system force balances all transportation nominations (i.e. Qin - fuel = Qout).  In addition, all title transfer nominations are balanced before they are scheduled.  This approach, along with having OBA's at all physical points, should make shipper imbalances a non-event.  However, a Northern Border scheduler does have the ability to input a one-sided nomination to create a shipper imbalance.   This is done at times when 1) a late confirmations from an interconnect or 2) an allocation/scheduling mistake causes a shipper to be exposed to a performance penalty, which we attempt to correct on a prospective basis.  But these conditions rarely occur.</w:t>
      </w:r>
    </w:p>
    <w:p>
      <w:pPr>
        <w:pStyle w:val="Normal"/>
        <w:spacing w:lineRule="atLeast" w:line="240"/>
        <w:rPr>
          <w:color w:val="000000"/>
        </w:rPr>
      </w:pPr>
      <w:r>
        <w:rPr>
          <w:color w:val="000000"/>
        </w:rPr>
      </w:r>
    </w:p>
    <w:p>
      <w:pPr>
        <w:pStyle w:val="Normal"/>
        <w:spacing w:lineRule="atLeast" w:line="240"/>
        <w:rPr>
          <w:color w:val="000000"/>
        </w:rPr>
      </w:pPr>
      <w:r>
        <w:rPr>
          <w:color w:val="000000"/>
        </w:rPr>
        <w:t>If a shipper imbalance does occur, Northern Border works with the shipper to volumetrically discharge their imbalance within a 45 day correction period.   To see that nothing impedes such make-up, Northern Border tariff provides shipper imbalance nominations the highest priority in the scheduling queue.</w:t>
      </w:r>
    </w:p>
    <w:p>
      <w:pPr>
        <w:pStyle w:val="Normal"/>
        <w:spacing w:lineRule="atLeast" w:line="240"/>
        <w:rPr>
          <w:color w:val="000000"/>
        </w:rPr>
      </w:pPr>
      <w:r>
        <w:rPr>
          <w:color w:val="000000"/>
        </w:rPr>
      </w:r>
    </w:p>
    <w:p>
      <w:pPr>
        <w:pStyle w:val="Normal"/>
        <w:spacing w:lineRule="atLeast" w:line="240"/>
        <w:rPr>
          <w:color w:val="000000"/>
        </w:rPr>
      </w:pPr>
      <w:r>
        <w:rPr>
          <w:color w:val="000000"/>
        </w:rPr>
        <w:t>If an shipper elects not to volumetrically deal with an imbalance due the pipeline during the 45 day window, Northern Border has a cash-out provision in its tariff (GTC Section 23.2 - Imbalance Resolution) - the problem shipper will be invoiced equal to the quantity of the underdelivery times 150% of the daily price.  The daily price shall be determined by using the midpoint $/MMBtu from the Daily Price Survey, as published in Gas Daily.  Revenue from the cash-out is flowed back to the firm shippers as a credit to the cost of service.</w:t>
      </w:r>
    </w:p>
    <w:p>
      <w:pPr>
        <w:pStyle w:val="Normal"/>
        <w:spacing w:lineRule="atLeast" w:line="240"/>
        <w:rPr>
          <w:color w:val="000000"/>
        </w:rPr>
      </w:pPr>
      <w:r>
        <w:rPr>
          <w:color w:val="000000"/>
        </w:rPr>
      </w:r>
    </w:p>
    <w:p>
      <w:pPr>
        <w:pStyle w:val="Normal"/>
        <w:spacing w:lineRule="atLeast" w:line="240"/>
        <w:rPr>
          <w:color w:val="000000"/>
        </w:rPr>
      </w:pPr>
      <w:r>
        <w:rPr>
          <w:color w:val="000000"/>
        </w:rPr>
        <w:t>Shipper imbalances due the shipper will be retained by Northern Border after the 45 day make-up period.  Such gas will be applied to the fuel requirement for the upcoming month.  So as with cash outs, the shippers receive the benefit.</w:t>
      </w:r>
    </w:p>
    <w:p>
      <w:pPr>
        <w:pStyle w:val="Normal"/>
        <w:spacing w:lineRule="atLeast" w:line="240"/>
        <w:rPr>
          <w:color w:val="000000"/>
        </w:rPr>
      </w:pPr>
      <w:r>
        <w:rPr>
          <w:color w:val="000000"/>
        </w:rPr>
      </w:r>
    </w:p>
    <w:p>
      <w:pPr>
        <w:pStyle w:val="Normal"/>
        <w:spacing w:lineRule="atLeast" w:line="240"/>
        <w:rPr>
          <w:color w:val="000000"/>
        </w:rPr>
      </w:pPr>
      <w:r>
        <w:rPr>
          <w:color w:val="000000"/>
        </w:rPr>
        <w:t>All of Northern Border's OBAs require volumetric balancing - no cash out provisions exist.  Northern Border, because of its mileage based tariff, currently prohibits simple netting of OBA imbalances.</w:t>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b/>
          <w:bCs/>
          <w:color w:val="000000"/>
        </w:rPr>
      </w:pPr>
      <w:r>
        <w:rPr>
          <w:b/>
          <w:bCs/>
          <w:color w:val="000000"/>
        </w:rPr>
        <w:t>Penalties</w:t>
      </w:r>
    </w:p>
    <w:p>
      <w:pPr>
        <w:pStyle w:val="Normal"/>
        <w:spacing w:lineRule="atLeast" w:line="240"/>
        <w:rPr>
          <w:b/>
          <w:bCs/>
          <w:color w:val="000000"/>
        </w:rPr>
      </w:pPr>
      <w:r>
        <w:rPr>
          <w:b/>
          <w:bCs/>
          <w:color w:val="000000"/>
        </w:rPr>
      </w:r>
    </w:p>
    <w:p>
      <w:pPr>
        <w:pStyle w:val="Normal"/>
        <w:spacing w:lineRule="atLeast" w:line="240"/>
        <w:rPr>
          <w:color w:val="000000"/>
        </w:rPr>
      </w:pPr>
      <w:r>
        <w:rPr>
          <w:color w:val="000000"/>
        </w:rPr>
        <w:t>Northern Border, other than the cash-out of imbalances detailed above, has no penalties.</w:t>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b/>
          <w:bCs/>
          <w:color w:val="000000"/>
        </w:rPr>
      </w:pPr>
      <w:r>
        <w:rPr>
          <w:b/>
          <w:bCs/>
          <w:color w:val="000000"/>
        </w:rPr>
        <w:t>Operational Flow Orders</w:t>
      </w:r>
    </w:p>
    <w:p>
      <w:pPr>
        <w:pStyle w:val="Normal"/>
        <w:spacing w:lineRule="atLeast" w:line="240"/>
        <w:rPr>
          <w:b/>
          <w:bCs/>
          <w:color w:val="000000"/>
        </w:rPr>
      </w:pPr>
      <w:r>
        <w:rPr>
          <w:b/>
          <w:bCs/>
          <w:color w:val="000000"/>
        </w:rPr>
      </w:r>
    </w:p>
    <w:p>
      <w:pPr>
        <w:pStyle w:val="Normal"/>
        <w:spacing w:lineRule="atLeast" w:line="240"/>
        <w:rPr>
          <w:color w:val="000000"/>
        </w:rPr>
      </w:pPr>
      <w:r>
        <w:rPr>
          <w:color w:val="000000"/>
        </w:rPr>
        <w:t>Northern Border views an OFO as a way for a pipeline to deal with a specific shipper or interconnect who is "not playing by the rules."  Shipper wide curtailments and interruptions are not considered to be OFO's in Northern Border's tariff.</w:t>
      </w:r>
    </w:p>
    <w:p>
      <w:pPr>
        <w:pStyle w:val="Normal"/>
        <w:spacing w:lineRule="atLeast" w:line="240"/>
        <w:rPr>
          <w:color w:val="000000"/>
        </w:rPr>
      </w:pPr>
      <w:r>
        <w:rPr>
          <w:color w:val="000000"/>
        </w:rPr>
      </w:r>
    </w:p>
    <w:p>
      <w:pPr>
        <w:pStyle w:val="Normal"/>
        <w:spacing w:lineRule="atLeast" w:line="240"/>
        <w:rPr>
          <w:color w:val="000000"/>
        </w:rPr>
      </w:pPr>
      <w:r>
        <w:rPr>
          <w:color w:val="000000"/>
        </w:rPr>
        <w:t>Because 1) 75% of Northern Border's deliveries are to pipelines, 2) all delivery locations in excess of 25 MMcf/d have flow control (some are operated on pressure control under agreement by the two interconnecting parties), and 3) Northern Border has real time telemetered data from over 90% of its receipt and delivery locations, OFOs are currently a non-event on Northern Border.</w:t>
      </w:r>
    </w:p>
    <w:p>
      <w:pPr>
        <w:pStyle w:val="Normal"/>
        <w:rPr>
          <w:color w:val="000000"/>
        </w:rPr>
      </w:pPr>
      <w:r>
        <w:rPr>
          <w:color w:val="000000"/>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2000-02-16T11:24:00Z</dcterms:created>
  <dc:creator>scorman</dc:creator>
  <dc:description/>
  <dc:language>en-CA</dc:language>
  <cp:lastModifiedBy>scorman</cp:lastModifiedBy>
  <cp:lastPrinted>2000-02-23T15:20:00Z</cp:lastPrinted>
  <dcterms:modified xsi:type="dcterms:W3CDTF">2000-02-23T19:37:00Z</dcterms:modified>
  <cp:revision>4</cp:revision>
  <dc:subject/>
  <dc:title>Discussion Draft 2/16/00</dc:title>
</cp:coreProperties>
</file>