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AGREEMENTS WITH GOLDMAN SACHS &amp; CO., ET AL</w:t>
      </w:r>
    </w:p>
    <w:p>
      <w:pPr>
        <w:pStyle w:val="Normal"/>
        <w:jc w:val="center"/>
        <w:rPr>
          <w:u w:val="single"/>
        </w:rPr>
      </w:pPr>
      <w:r>
        <w:rPr>
          <w:u w:val="single"/>
        </w:rPr>
      </w:r>
    </w:p>
    <w:p>
      <w:pPr>
        <w:pStyle w:val="Normal"/>
        <w:jc w:val="center"/>
        <w:rPr>
          <w:u w:val="single"/>
        </w:rPr>
      </w:pPr>
      <w:r>
        <w:rPr>
          <w:u w:val="single"/>
        </w:rPr>
      </w:r>
    </w:p>
    <w:p>
      <w:pPr>
        <w:pStyle w:val="Heading1"/>
        <w:ind w:hanging="0" w:start="0"/>
        <w:rPr/>
      </w:pPr>
      <w:r>
        <w:rPr/>
        <w:t>Brokerage Agreements</w:t>
      </w:r>
    </w:p>
    <w:p>
      <w:pPr>
        <w:pStyle w:val="Normal"/>
        <w:rPr/>
      </w:pPr>
      <w:r>
        <w:rPr/>
      </w:r>
    </w:p>
    <w:p>
      <w:pPr>
        <w:pStyle w:val="BodyTextIndent"/>
        <w:rPr/>
      </w:pPr>
      <w:r>
        <w:rPr/>
        <w:t>1.</w:t>
        <w:tab/>
        <w:t>Prime Brokerage Agreement dated August 24, 2001 between ECT Investments, Inc. and Goldman Sachs International.  Enron Corp. guaranty – unknown.</w:t>
      </w:r>
    </w:p>
    <w:p>
      <w:pPr>
        <w:pStyle w:val="Normal"/>
        <w:ind w:hanging="720" w:start="720" w:end="0"/>
        <w:rPr/>
      </w:pPr>
      <w:r>
        <w:rPr/>
      </w:r>
    </w:p>
    <w:p>
      <w:pPr>
        <w:pStyle w:val="BodyTextIndent"/>
        <w:rPr/>
      </w:pPr>
      <w:r>
        <w:rPr/>
        <w:t>2.</w:t>
        <w:tab/>
        <w:t>Over-the-Counter Option Transactions-Government and Mortgage/Backed Securities dated February, 1998 between Enron Capital &amp; Trade Resources Corp. and Goldman, Sachs &amp; Co.  Enron Corp. guaranty dated June 9, 1998 - $25,000,000 cap.</w:t>
      </w:r>
    </w:p>
    <w:p>
      <w:pPr>
        <w:pStyle w:val="BodyTextIndent"/>
        <w:rPr/>
      </w:pPr>
      <w:r>
        <w:rPr/>
      </w:r>
    </w:p>
    <w:p>
      <w:pPr>
        <w:pStyle w:val="BodyTextIndent"/>
        <w:numPr>
          <w:ilvl w:val="0"/>
          <w:numId w:val="3"/>
        </w:numPr>
        <w:ind w:hanging="720" w:start="720" w:end="0"/>
        <w:rPr/>
      </w:pPr>
      <w:r>
        <w:rPr/>
        <w:t>Corporate Account Agreement dated December 3, 1999 between ECT Investments, Inc. and Goldman, Sachs &amp; Co. (clearing account).  Enron Corp. guaranty – unknown.</w:t>
      </w:r>
    </w:p>
    <w:p>
      <w:pPr>
        <w:pStyle w:val="Normal"/>
        <w:ind w:hanging="720" w:start="720" w:end="0"/>
        <w:rPr/>
      </w:pPr>
      <w:r>
        <w:rPr/>
      </w:r>
    </w:p>
    <w:p>
      <w:pPr>
        <w:pStyle w:val="Normal"/>
        <w:numPr>
          <w:ilvl w:val="0"/>
          <w:numId w:val="3"/>
        </w:numPr>
        <w:ind w:hanging="720" w:start="720" w:end="0"/>
        <w:rPr/>
      </w:pPr>
      <w:r>
        <w:rPr/>
        <w:t>Corporate Account Agreement dated March 27, 1997 between ECT Investments, Inc. and Goldman, Sachs &amp; Co. (executing account).  Enron Corp. guaranty – unknown.</w:t>
      </w:r>
    </w:p>
    <w:p>
      <w:pPr>
        <w:pStyle w:val="Normal"/>
        <w:rPr/>
      </w:pPr>
      <w:r>
        <w:rPr/>
      </w:r>
    </w:p>
    <w:p>
      <w:pPr>
        <w:pStyle w:val="Normal"/>
        <w:numPr>
          <w:ilvl w:val="0"/>
          <w:numId w:val="3"/>
        </w:numPr>
        <w:ind w:hanging="720" w:start="720" w:end="0"/>
        <w:rPr/>
      </w:pPr>
      <w:r>
        <w:rPr/>
        <w:t>Corporate Account Agreement dated May 18, 2001 between Enron Credit Inc. and Goldman, Sachs &amp; Co.  Enron Corp. guaranty – unknown.</w:t>
      </w:r>
    </w:p>
    <w:p>
      <w:pPr>
        <w:pStyle w:val="Normal"/>
        <w:rPr/>
      </w:pPr>
      <w:r>
        <w:rPr/>
      </w:r>
    </w:p>
    <w:p>
      <w:pPr>
        <w:pStyle w:val="Normal"/>
        <w:numPr>
          <w:ilvl w:val="0"/>
          <w:numId w:val="3"/>
        </w:numPr>
        <w:ind w:hanging="720" w:start="720" w:end="0"/>
        <w:rPr/>
      </w:pPr>
      <w:r>
        <w:rPr/>
        <w:t>Corporate Account Agreement dated December 3, 1999 between Enron North America Corp. and Goldman, Sachs &amp; Co. (clearing account).  Enron Corp. guaranty – unknown.</w:t>
      </w:r>
    </w:p>
    <w:p>
      <w:pPr>
        <w:pStyle w:val="Normal"/>
        <w:rPr/>
      </w:pPr>
      <w:r>
        <w:rPr/>
      </w:r>
    </w:p>
    <w:p>
      <w:pPr>
        <w:pStyle w:val="Normal"/>
        <w:numPr>
          <w:ilvl w:val="0"/>
          <w:numId w:val="3"/>
        </w:numPr>
        <w:ind w:hanging="720" w:start="720" w:end="0"/>
        <w:rPr/>
      </w:pPr>
      <w:r>
        <w:rPr/>
        <w:t>Client Access Agreement dated June 15, 2000 between Enron North America Corp. and Goldman, Sachs &amp; Co. (online trading).  Enron Corp. guaranty – unknown.</w:t>
      </w:r>
    </w:p>
    <w:p>
      <w:pPr>
        <w:pStyle w:val="Normal"/>
        <w:rPr/>
      </w:pPr>
      <w:r>
        <w:rPr/>
      </w:r>
    </w:p>
    <w:p>
      <w:pPr>
        <w:pStyle w:val="Heading1"/>
        <w:ind w:hanging="0" w:start="0"/>
        <w:rPr/>
      </w:pPr>
      <w:r>
        <w:rPr/>
        <w:t>Futures Agreement</w:t>
      </w:r>
    </w:p>
    <w:p>
      <w:pPr>
        <w:pStyle w:val="Normal"/>
        <w:rPr/>
      </w:pPr>
      <w:r>
        <w:rPr/>
      </w:r>
    </w:p>
    <w:p>
      <w:pPr>
        <w:pStyle w:val="Normal"/>
        <w:rPr/>
      </w:pPr>
      <w:r>
        <w:rPr/>
        <w:t>Futures Agreement between Enron North America Corp. and Goldman, Sachs &amp; Co. – under negotiation. – Enron Corp. guaranty unknown.</w:t>
      </w:r>
    </w:p>
    <w:p>
      <w:pPr>
        <w:pStyle w:val="Normal"/>
        <w:rPr/>
      </w:pPr>
      <w:r>
        <w:rPr/>
      </w:r>
    </w:p>
    <w:p>
      <w:pPr>
        <w:pStyle w:val="Heading1"/>
        <w:ind w:hanging="0" w:start="0"/>
        <w:rPr/>
      </w:pPr>
      <w:r>
        <w:rPr/>
        <w:t>“</w:t>
      </w:r>
      <w:r>
        <w:rPr/>
        <w:t>Give-Up” Agreements</w:t>
      </w:r>
    </w:p>
    <w:p>
      <w:pPr>
        <w:pStyle w:val="Normal"/>
        <w:rPr/>
      </w:pPr>
      <w:r>
        <w:rPr/>
      </w:r>
    </w:p>
    <w:p>
      <w:pPr>
        <w:pStyle w:val="BodyTextIndent"/>
        <w:rPr/>
      </w:pPr>
      <w:r>
        <w:rPr/>
        <w:t>1.</w:t>
        <w:tab/>
        <w:t>“Give-Up” Agreement among Goldman Sachs International, ECT Investments, Inc. and ADM Investor Services International – under negotiation.  Enron Corp. guaranty unknown.</w:t>
      </w:r>
    </w:p>
    <w:p>
      <w:pPr>
        <w:pStyle w:val="Normal"/>
        <w:rPr/>
      </w:pPr>
      <w:r>
        <w:rPr/>
      </w:r>
    </w:p>
    <w:p>
      <w:pPr>
        <w:pStyle w:val="BodyTextIndent"/>
        <w:numPr>
          <w:ilvl w:val="0"/>
          <w:numId w:val="2"/>
        </w:numPr>
        <w:ind w:hanging="720" w:start="720" w:end="0"/>
        <w:rPr/>
      </w:pPr>
      <w:r>
        <w:rPr/>
        <w:t>“</w:t>
      </w:r>
      <w:r>
        <w:rPr/>
        <w:t>Give-Up” Agreement among Goldman Sachs International, ECT Investments, Inc. and Monument Derivatives Ltd. – under negotiation.  Enron Corp. guaranty unknown.</w:t>
      </w:r>
    </w:p>
    <w:p>
      <w:pPr>
        <w:pStyle w:val="Normal"/>
        <w:ind w:hanging="720" w:start="720" w:end="0"/>
        <w:rPr/>
      </w:pPr>
      <w:r>
        <w:rPr/>
      </w:r>
    </w:p>
    <w:p>
      <w:pPr>
        <w:pStyle w:val="Heading2"/>
        <w:rPr/>
      </w:pPr>
      <w:r>
        <w:rPr/>
        <w:t>Global Master Repurchase Agreement</w:t>
      </w:r>
    </w:p>
    <w:p>
      <w:pPr>
        <w:pStyle w:val="Normal"/>
        <w:ind w:firstLine="720" w:end="0"/>
        <w:rPr/>
      </w:pPr>
      <w:r>
        <w:rPr/>
      </w:r>
    </w:p>
    <w:p>
      <w:pPr>
        <w:pStyle w:val="Normal"/>
        <w:rPr/>
      </w:pPr>
      <w:r>
        <w:rPr/>
        <w:t>Global Master Repurchase Agreement dated May 7, 1997 between Goldman Sachs International and Enron Capital and Trade Resources Corp.  Enron Corp. guaranty dated as of May 7, 1997 - $10,000,000 cap.</w:t>
      </w:r>
    </w:p>
    <w:p>
      <w:pPr>
        <w:pStyle w:val="Normal"/>
        <w:rPr/>
      </w:pPr>
      <w:r>
        <w:rPr/>
      </w:r>
    </w:p>
    <w:p>
      <w:pPr>
        <w:pStyle w:val="Heading1"/>
        <w:ind w:hanging="0" w:start="0"/>
        <w:rPr/>
      </w:pPr>
      <w:r>
        <w:rPr/>
        <w:t>Master Repurchase Agreements</w:t>
      </w:r>
    </w:p>
    <w:p>
      <w:pPr>
        <w:pStyle w:val="Normal"/>
        <w:rPr/>
      </w:pPr>
      <w:r>
        <w:rPr/>
      </w:r>
    </w:p>
    <w:p>
      <w:pPr>
        <w:pStyle w:val="Normal"/>
        <w:numPr>
          <w:ilvl w:val="0"/>
          <w:numId w:val="4"/>
        </w:numPr>
        <w:rPr/>
      </w:pPr>
      <w:r>
        <w:rPr/>
        <w:t>Master Repurchase Agreement dated as of April 25, 1997 between Goldman Sachs &amp; Co. and Enron Capital &amp; Trade Resources Corp.  Enron Corp. guaranty dated as of April 25, 1977 - $10,000,000 cap.</w:t>
      </w:r>
    </w:p>
    <w:p>
      <w:pPr>
        <w:pStyle w:val="Normal"/>
        <w:rPr/>
      </w:pPr>
      <w:r>
        <w:rPr/>
      </w:r>
    </w:p>
    <w:p>
      <w:pPr>
        <w:pStyle w:val="Normal"/>
        <w:numPr>
          <w:ilvl w:val="0"/>
          <w:numId w:val="4"/>
        </w:numPr>
        <w:rPr/>
      </w:pPr>
      <w:r>
        <w:rPr/>
        <w:t>Master Repurchase Agreement dated as of January 23, 1977 between Goldman Sachs Canada and Enron Capital &amp; Trade Resources Corp.  Enron Corp. guaranty dated as of January 22, 1997 - $10,000,000 cap.</w:t>
      </w:r>
    </w:p>
    <w:p>
      <w:pPr>
        <w:pStyle w:val="Normal"/>
        <w:rPr/>
      </w:pPr>
      <w:r>
        <w:rPr/>
      </w:r>
    </w:p>
    <w:p>
      <w:pPr>
        <w:pStyle w:val="Heading1"/>
        <w:ind w:hanging="0" w:start="0"/>
        <w:rPr/>
      </w:pPr>
      <w:r>
        <w:rPr/>
        <w:t>Securities Loan Agreements</w:t>
      </w:r>
    </w:p>
    <w:p>
      <w:pPr>
        <w:pStyle w:val="Normal"/>
        <w:rPr/>
      </w:pPr>
      <w:r>
        <w:rPr/>
      </w:r>
    </w:p>
    <w:p>
      <w:pPr>
        <w:pStyle w:val="BodyTextIndent"/>
        <w:jc w:val="both"/>
        <w:rPr/>
      </w:pPr>
      <w:r>
        <w:rPr/>
        <w:t>1.</w:t>
        <w:tab/>
        <w:t>Credit Agreement dated as of March 24, 2000 between Goldman Sachs International and Enron North America Corp.  Overseas Securities Lender’s Agreement dated March 27, 2000 between Goldman Sachs International and Enron North America Corp.  Enron Corp. guaranty unknown.</w:t>
      </w:r>
    </w:p>
    <w:p>
      <w:pPr>
        <w:pStyle w:val="Normal"/>
        <w:rPr/>
      </w:pPr>
      <w:r>
        <w:rPr/>
      </w:r>
    </w:p>
    <w:p>
      <w:pPr>
        <w:pStyle w:val="BodyTextIndent"/>
        <w:jc w:val="both"/>
        <w:rPr/>
      </w:pPr>
      <w:r>
        <w:rPr/>
        <w:t>2.</w:t>
        <w:tab/>
        <w:t>Credit Agreement dated as of March 24, 2000 between Goldman Sachs International and ECT Investments, Inc.  Overseas Securities Lender’s Agreement dated March 27, 2000 between Goldman Sachs International and ECT Investments, Inc.  Enron Corp. guaranty unknown.</w:t>
      </w:r>
    </w:p>
    <w:p>
      <w:pPr>
        <w:pStyle w:val="Normal"/>
        <w:jc w:val="both"/>
        <w:rPr/>
      </w:pPr>
      <w:r>
        <w:rPr/>
      </w:r>
    </w:p>
    <w:p>
      <w:pPr>
        <w:pStyle w:val="Normal"/>
        <w:numPr>
          <w:ilvl w:val="0"/>
          <w:numId w:val="2"/>
        </w:numPr>
        <w:ind w:hanging="720" w:start="720" w:end="0"/>
        <w:jc w:val="both"/>
        <w:rPr/>
      </w:pPr>
      <w:r>
        <w:rPr/>
        <w:t>Credit Agreement dated as of October 26, 2001 between Goldman Sachs International and Enron Credit Inc.  Overseas Securities Lender’s Agreement dated October 26, 2001 between Goldman Sachs International and Enron Credit Inc. – currently being executed by Enron Credit Inc.  Enron Corp. guaranty unknown</w:t>
      </w:r>
    </w:p>
    <w:p>
      <w:pPr>
        <w:pStyle w:val="Normal"/>
        <w:jc w:val="both"/>
        <w:rPr/>
      </w:pPr>
      <w:r>
        <w:rPr/>
      </w:r>
    </w:p>
    <w:p>
      <w:pPr>
        <w:pStyle w:val="Heading3"/>
        <w:ind w:hanging="0" w:start="0"/>
        <w:rPr/>
      </w:pPr>
      <w:r>
        <w:rPr/>
        <w:t>ISDA Master Agreements</w:t>
      </w:r>
    </w:p>
    <w:p>
      <w:pPr>
        <w:pStyle w:val="Normal"/>
        <w:jc w:val="both"/>
        <w:rPr/>
      </w:pPr>
      <w:r>
        <w:rPr/>
      </w:r>
    </w:p>
    <w:p>
      <w:pPr>
        <w:pStyle w:val="BodyTextIndent2"/>
        <w:rPr/>
      </w:pPr>
      <w:r>
        <w:rPr/>
        <w:t>1.</w:t>
        <w:tab/>
        <w:t>ISDA Master Agreement dated as of June 18, 1999 between Goldman Sachs International and ECT Investments, Inc.  Enron Corp. guaranty dated as of June 18, 1999 - $10,000,000 cap.</w:t>
      </w:r>
    </w:p>
    <w:p>
      <w:pPr>
        <w:pStyle w:val="Normal"/>
        <w:jc w:val="both"/>
        <w:rPr/>
      </w:pPr>
      <w:r>
        <w:rPr/>
      </w:r>
    </w:p>
    <w:p>
      <w:pPr>
        <w:pStyle w:val="Normal"/>
        <w:numPr>
          <w:ilvl w:val="0"/>
          <w:numId w:val="5"/>
        </w:numPr>
        <w:ind w:hanging="720" w:start="720" w:end="0"/>
        <w:jc w:val="both"/>
        <w:rPr/>
      </w:pPr>
      <w:r>
        <w:rPr/>
        <w:t>ISDA Master Agreement dated as of October 21, 1996 between Goldman Sachs Capital Markets, L.P. and Enron Capital &amp; Trade Resources Corp.  can’t locate file.</w:t>
      </w:r>
    </w:p>
    <w:p>
      <w:pPr>
        <w:pStyle w:val="Normal"/>
        <w:jc w:val="both"/>
        <w:rPr/>
      </w:pPr>
      <w:r>
        <w:rPr/>
      </w:r>
    </w:p>
    <w:p>
      <w:pPr>
        <w:pStyle w:val="BodyTextIndent2"/>
        <w:rPr/>
      </w:pPr>
      <w:r>
        <w:rPr/>
        <w:t>3.</w:t>
        <w:tab/>
        <w:t>ISDA Master Agreement between Goldman Sachs Capital Markets, L.P. and Enron Corp. – under credit review.</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abstractNum w:abstractNumId="3">
    <w:lvl w:ilvl="0">
      <w:start w:val="3"/>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2"/>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720" w:start="720" w:end="0"/>
      <w:outlineLvl w:val="1"/>
    </w:pPr>
    <w:rPr>
      <w:b/>
      <w:bCs/>
      <w:u w:val="single"/>
    </w:rPr>
  </w:style>
  <w:style w:type="paragraph" w:styleId="Heading3">
    <w:name w:val="heading 3"/>
    <w:basedOn w:val="Normal"/>
    <w:next w:val="Normal"/>
    <w:qFormat/>
    <w:pPr>
      <w:keepNext w:val="true"/>
      <w:numPr>
        <w:ilvl w:val="2"/>
        <w:numId w:val="1"/>
      </w:numPr>
      <w:jc w:val="both"/>
      <w:outlineLvl w:val="2"/>
    </w:pPr>
    <w:rPr>
      <w:b/>
      <w:bCs/>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72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2001-10-29T12:09:00Z</dcterms:created>
  <dc:creator>mheard</dc:creator>
  <dc:description/>
  <dc:language>en-CA</dc:language>
  <cp:lastModifiedBy>mheard</cp:lastModifiedBy>
  <dcterms:modified xsi:type="dcterms:W3CDTF">2001-10-29T13:39:00Z</dcterms:modified>
  <cp:revision>2</cp:revision>
  <dc:subject/>
  <dc:title>AGREEMENTS WITH GOLDMAN SACHS &amp; CO</dc:title>
</cp:coreProperties>
</file>