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Comments on Godbole Committee’s Recommendations</w:t>
      </w:r>
    </w:p>
    <w:p>
      <w:pPr>
        <w:pStyle w:val="Heading"/>
        <w:rPr>
          <w:sz w:val="20"/>
        </w:rPr>
      </w:pPr>
      <w:r>
        <w:rPr>
          <w:sz w:val="20"/>
        </w:rPr>
      </w:r>
    </w:p>
    <w:tbl>
      <w:tblPr>
        <w:tblW w:w="9704" w:type="dxa"/>
        <w:jc w:val="start"/>
        <w:tblInd w:w="0" w:type="dxa"/>
        <w:tblLayout w:type="fixed"/>
        <w:tblCellMar>
          <w:top w:w="0" w:type="dxa"/>
          <w:start w:w="108" w:type="dxa"/>
          <w:bottom w:w="0" w:type="dxa"/>
          <w:end w:w="108" w:type="dxa"/>
        </w:tblCellMar>
      </w:tblPr>
      <w:tblGrid>
        <w:gridCol w:w="3438"/>
        <w:gridCol w:w="3476"/>
        <w:gridCol w:w="2790"/>
      </w:tblGrid>
      <w:tr>
        <w:trPr>
          <w:tblHeader w:val="true"/>
        </w:trPr>
        <w:tc>
          <w:tcPr>
            <w:tcW w:w="34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Committee’s Recommendations</w:t>
            </w:r>
          </w:p>
        </w:tc>
        <w:tc>
          <w:tcPr>
            <w:tcW w:w="34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Brief Details</w:t>
            </w:r>
          </w:p>
          <w:p>
            <w:pPr>
              <w:pStyle w:val="Normal"/>
              <w:jc w:val="center"/>
              <w:rPr>
                <w:rFonts w:ascii="Arial" w:hAnsi="Arial" w:cs="Arial"/>
                <w:b/>
              </w:rPr>
            </w:pPr>
            <w:r>
              <w:rPr>
                <w:rFonts w:cs="Arial" w:ascii="Arial" w:hAnsi="Arial"/>
                <w:b/>
              </w:rPr>
            </w:r>
          </w:p>
        </w:tc>
        <w:tc>
          <w:tcPr>
            <w:tcW w:w="27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Remarks</w:t>
            </w:r>
          </w:p>
        </w:tc>
      </w:tr>
      <w:tr>
        <w:trPr>
          <w:trHeight w:val="1412" w:hRule="atLeast"/>
        </w:trPr>
        <w:tc>
          <w:tcPr>
            <w:tcW w:w="3438" w:type="dxa"/>
            <w:tcBorders>
              <w:top w:val="single" w:sz="4" w:space="0" w:color="000000"/>
              <w:start w:val="single" w:sz="4" w:space="0" w:color="000000"/>
              <w:bottom w:val="single" w:sz="4" w:space="0" w:color="000000"/>
              <w:end w:val="single" w:sz="4" w:space="0" w:color="000000"/>
            </w:tcBorders>
          </w:tcPr>
          <w:p>
            <w:pPr>
              <w:pStyle w:val="Normal"/>
              <w:numPr>
                <w:ilvl w:val="0"/>
                <w:numId w:val="8"/>
              </w:numPr>
              <w:jc w:val="both"/>
              <w:rPr>
                <w:rFonts w:ascii="Arial" w:hAnsi="Arial" w:cs="Arial"/>
              </w:rPr>
            </w:pPr>
            <w:r>
              <w:rPr>
                <w:rFonts w:cs="Arial" w:ascii="Arial" w:hAnsi="Arial"/>
              </w:rPr>
              <w:t>Publish all documents related to all IPPs including DPC</w:t>
            </w:r>
          </w:p>
        </w:tc>
        <w:tc>
          <w:tcPr>
            <w:tcW w:w="347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PPA, which is the principal contract between MSEB &amp; DPC is already in public domain. However, w.r.t. other project documents, the confidentiality clauses therein need to be taken into consideration.</w:t>
            </w:r>
          </w:p>
          <w:p>
            <w:pPr>
              <w:pStyle w:val="Normal"/>
              <w:jc w:val="both"/>
              <w:rPr>
                <w:rFonts w:ascii="Arial" w:hAnsi="Arial" w:cs="Arial"/>
              </w:rPr>
            </w:pPr>
            <w:r>
              <w:rPr>
                <w:rFonts w:cs="Arial" w:ascii="Arial" w:hAnsi="Arial"/>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numPr>
                <w:ilvl w:val="0"/>
                <w:numId w:val="8"/>
              </w:numPr>
              <w:jc w:val="both"/>
              <w:rPr>
                <w:rFonts w:ascii="Arial" w:hAnsi="Arial" w:cs="Arial"/>
              </w:rPr>
            </w:pPr>
            <w:r>
              <w:rPr>
                <w:rFonts w:cs="Arial" w:ascii="Arial" w:hAnsi="Arial"/>
              </w:rPr>
              <w:t xml:space="preserve">Views of the Committee on the Establishment of a Commission of Inquiry </w:t>
            </w:r>
          </w:p>
        </w:tc>
        <w:tc>
          <w:tcPr>
            <w:tcW w:w="3476" w:type="dxa"/>
            <w:tcBorders>
              <w:top w:val="single" w:sz="4" w:space="0" w:color="000000"/>
              <w:start w:val="single" w:sz="4" w:space="0" w:color="000000"/>
              <w:bottom w:val="single" w:sz="4" w:space="0" w:color="000000"/>
              <w:end w:val="single" w:sz="4" w:space="0" w:color="000000"/>
            </w:tcBorders>
          </w:tcPr>
          <w:p>
            <w:pPr>
              <w:pStyle w:val="Normal"/>
              <w:numPr>
                <w:ilvl w:val="0"/>
                <w:numId w:val="12"/>
              </w:numPr>
              <w:jc w:val="both"/>
              <w:rPr>
                <w:rFonts w:ascii="Arial" w:hAnsi="Arial" w:cs="Arial"/>
              </w:rPr>
            </w:pPr>
            <w:r>
              <w:rPr>
                <w:rFonts w:cs="Arial" w:ascii="Arial" w:hAnsi="Arial"/>
              </w:rPr>
              <w:t>Majority opinion (Mr. Parekh, Dr. Pachauri &amp; Mr. Lal) was that the Committee does not have adequate powers to suggest a Commission of Inquiry. Further, it may not serve any useful purpose, since many of the officials of MSEB / GoM / GoI involved in the decision-making related to the project may not be available and the Commission, if established, may act as a hurdle in the renegotiation of the project</w:t>
            </w:r>
          </w:p>
          <w:p>
            <w:pPr>
              <w:pStyle w:val="Normal"/>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Minority opinion (Dr. Godbole &amp; Dr. Sarma) was that GoM should appoint a judicial commission of inquiry </w:t>
            </w:r>
          </w:p>
          <w:p>
            <w:pPr>
              <w:pStyle w:val="Normal"/>
              <w:jc w:val="both"/>
              <w:rPr>
                <w:rFonts w:ascii="Arial" w:hAnsi="Arial" w:cs="Arial"/>
              </w:rPr>
            </w:pPr>
            <w:r>
              <w:rPr>
                <w:rFonts w:cs="Arial" w:ascii="Arial" w:hAnsi="Arial"/>
              </w:rPr>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Phase I in operation &amp; Phase II nearing completion. Any delay in finding a viable solution likely to complicate situation beyond repair.</w:t>
            </w:r>
          </w:p>
        </w:tc>
      </w:tr>
      <w:tr>
        <w:trPr/>
        <w:tc>
          <w:tcPr>
            <w:tcW w:w="3438" w:type="dxa"/>
            <w:tcBorders>
              <w:top w:val="single" w:sz="4" w:space="0" w:color="000000"/>
              <w:start w:val="single" w:sz="4" w:space="0" w:color="000000"/>
              <w:bottom w:val="single" w:sz="4" w:space="0" w:color="000000"/>
              <w:end w:val="single" w:sz="4" w:space="0" w:color="000000"/>
            </w:tcBorders>
          </w:tcPr>
          <w:p>
            <w:pPr>
              <w:pStyle w:val="Heading1"/>
              <w:ind w:hanging="0" w:start="0"/>
              <w:jc w:val="both"/>
              <w:rPr>
                <w:rFonts w:ascii="Arial" w:hAnsi="Arial" w:cs="Arial"/>
              </w:rPr>
            </w:pPr>
            <w:r>
              <w:rPr>
                <w:rFonts w:cs="Arial" w:ascii="Arial" w:hAnsi="Arial"/>
              </w:rPr>
              <w:t>Restructure DPC Project</w:t>
            </w:r>
          </w:p>
        </w:tc>
        <w:tc>
          <w:tcPr>
            <w:tcW w:w="347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The Committee’s basic premise is that any new capacity addition is justifiable only if the marginal revenue realisation matches the marginal cost of supply.</w:t>
            </w:r>
          </w:p>
        </w:tc>
        <w:tc>
          <w:tcPr>
            <w:tcW w:w="2790" w:type="dxa"/>
            <w:tcBorders>
              <w:top w:val="single" w:sz="4" w:space="0" w:color="000000"/>
              <w:start w:val="single" w:sz="4" w:space="0" w:color="000000"/>
              <w:bottom w:val="single" w:sz="4" w:space="0" w:color="000000"/>
              <w:end w:val="single" w:sz="4" w:space="0" w:color="000000"/>
            </w:tcBorders>
          </w:tcPr>
          <w:p>
            <w:pPr>
              <w:pStyle w:val="BodyText"/>
              <w:rPr/>
            </w:pPr>
            <w:r>
              <w:rPr/>
              <w:t>The focus of the recommendations is only from MSEB’s perspective. Other stakeholders’ interests (including that of the Lenders, Fuel Suppliers &amp; Shareholders) &amp; the project economics have been completely disregarded.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Further, going by the Committee’s philosophy, no new capacity addition would be feasible, since typically the growth in the subsidised categories would be higher than the subsidising categories, implying that the marginal revenue realisation would be lesser than the marginal cost of supply. Cost of new generation would typically be higher than the prevailing cost of supply.</w:t>
            </w:r>
          </w:p>
          <w:p>
            <w:pPr>
              <w:pStyle w:val="Normal"/>
              <w:jc w:val="both"/>
              <w:rPr>
                <w:rFonts w:ascii="Arial" w:hAnsi="Arial" w:cs="Arial"/>
              </w:rPr>
            </w:pPr>
            <w:r>
              <w:rPr>
                <w:rFonts w:cs="Arial" w:ascii="Arial" w:hAnsi="Arial"/>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rFonts w:ascii="Arial" w:hAnsi="Arial" w:cs="Arial"/>
              </w:rPr>
            </w:pPr>
            <w:r>
              <w:rPr>
                <w:rFonts w:cs="Arial" w:ascii="Arial" w:hAnsi="Arial"/>
              </w:rPr>
              <w:t xml:space="preserve">Separation of LNG Facility </w:t>
            </w:r>
          </w:p>
        </w:tc>
        <w:tc>
          <w:tcPr>
            <w:tcW w:w="3476" w:type="dxa"/>
            <w:tcBorders>
              <w:top w:val="single" w:sz="4" w:space="0" w:color="000000"/>
              <w:start w:val="single" w:sz="4" w:space="0" w:color="000000"/>
              <w:bottom w:val="single" w:sz="4" w:space="0" w:color="000000"/>
              <w:end w:val="single" w:sz="4" w:space="0" w:color="000000"/>
            </w:tcBorders>
          </w:tcPr>
          <w:p>
            <w:pPr>
              <w:pStyle w:val="Normal"/>
              <w:numPr>
                <w:ilvl w:val="0"/>
                <w:numId w:val="6"/>
              </w:numPr>
              <w:jc w:val="both"/>
              <w:rPr>
                <w:rFonts w:ascii="Arial" w:hAnsi="Arial" w:cs="Arial"/>
              </w:rPr>
            </w:pPr>
            <w:r>
              <w:rPr>
                <w:rFonts w:cs="Arial" w:ascii="Arial" w:hAnsi="Arial"/>
              </w:rPr>
              <w:t>Cost of Facility to be distributed over its entire capacity &amp; not just over the amount sold to the power plant</w:t>
            </w:r>
          </w:p>
          <w:p>
            <w:pPr>
              <w:pStyle w:val="Normal"/>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Harbour Facility also to be used as a common facility</w:t>
            </w:r>
          </w:p>
          <w:p>
            <w:pPr>
              <w:pStyle w:val="Normal"/>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Capital cost of LNG Facility to reflect in the fuel charge in proportion of the fuel regassified for power generation, rather than take-or-pay</w:t>
            </w:r>
          </w:p>
          <w:p>
            <w:pPr>
              <w:pStyle w:val="Normal"/>
              <w:jc w:val="both"/>
              <w:rPr>
                <w:rFonts w:ascii="Arial" w:hAnsi="Arial" w:cs="Arial"/>
              </w:rPr>
            </w:pPr>
            <w:r>
              <w:rPr>
                <w:rFonts w:cs="Arial" w:ascii="Arial" w:hAnsi="Arial"/>
              </w:rPr>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DPC was agreeable to the separation of the LNG Facility even earlier. However, CEA didn’t support it.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Committee seems to be unaware of the economics of the LNG Facility, since the marginal investment in a 5 mtpa plant over a 2.5 mtpa plant is very minimal (only to the extent of an additional tank). DPC added a third tank on MSEB’s behest to partly mitigate their Take-or-Pay obligation.</w:t>
            </w:r>
          </w:p>
          <w:p>
            <w:pPr>
              <w:pStyle w:val="Normal"/>
              <w:jc w:val="both"/>
              <w:rPr>
                <w:rFonts w:ascii="Arial" w:hAnsi="Arial" w:eastAsia="Arial" w:cs="Arial"/>
              </w:rPr>
            </w:pPr>
            <w:r>
              <w:rPr>
                <w:rFonts w:eastAsia="Arial" w:cs="Arial" w:ascii="Arial" w:hAnsi="Arial"/>
              </w:rPr>
              <w:t xml:space="preserve"> </w:t>
            </w:r>
          </w:p>
          <w:p>
            <w:pPr>
              <w:pStyle w:val="Normal"/>
              <w:jc w:val="both"/>
              <w:rPr>
                <w:rFonts w:ascii="Arial" w:hAnsi="Arial" w:cs="Arial"/>
              </w:rPr>
            </w:pPr>
            <w:r>
              <w:rPr>
                <w:rFonts w:cs="Arial" w:ascii="Arial" w:hAnsi="Arial"/>
              </w:rPr>
              <w:t>Further, the existing regas charge already assures the benefit of higher capacity being passed on to MSEB.</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Committee’s recommendation w.r.t. sharing of the LNG Facility does not take into cognisance the following:</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Approvals required from MSEB / GoM &amp; its agencies</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Pipeline investments (&gt; $ 300 MM)</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Gestation period for developing / implementing the project (3-4 years)</w:t>
            </w:r>
          </w:p>
          <w:p>
            <w:pPr>
              <w:pStyle w:val="Normal"/>
              <w:jc w:val="both"/>
              <w:rPr>
                <w:rFonts w:ascii="Arial" w:hAnsi="Arial" w:cs="Arial"/>
              </w:rPr>
            </w:pPr>
            <w:r>
              <w:rPr>
                <w:rFonts w:cs="Arial" w:ascii="Arial" w:hAnsi="Arial"/>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rFonts w:ascii="Arial" w:hAnsi="Arial" w:cs="Arial"/>
              </w:rPr>
            </w:pPr>
            <w:r>
              <w:rPr>
                <w:rFonts w:cs="Arial" w:ascii="Arial" w:hAnsi="Arial"/>
              </w:rPr>
              <w:t>Renegotiate LNG SPAs &amp; Shipping Agreements</w:t>
            </w:r>
          </w:p>
        </w:tc>
        <w:tc>
          <w:tcPr>
            <w:tcW w:w="3476" w:type="dxa"/>
            <w:tcBorders>
              <w:top w:val="single" w:sz="4" w:space="0" w:color="000000"/>
              <w:start w:val="single" w:sz="4" w:space="0" w:color="000000"/>
              <w:bottom w:val="single" w:sz="4" w:space="0" w:color="000000"/>
              <w:end w:val="single" w:sz="4" w:space="0" w:color="000000"/>
            </w:tcBorders>
          </w:tcPr>
          <w:p>
            <w:pPr>
              <w:pStyle w:val="Normal"/>
              <w:numPr>
                <w:ilvl w:val="0"/>
                <w:numId w:val="6"/>
              </w:numPr>
              <w:jc w:val="both"/>
              <w:rPr>
                <w:rFonts w:ascii="Arial" w:hAnsi="Arial" w:cs="Arial"/>
              </w:rPr>
            </w:pPr>
            <w:r>
              <w:rPr>
                <w:rFonts w:cs="Arial" w:ascii="Arial" w:hAnsi="Arial"/>
              </w:rPr>
              <w:t>Renegotiate LNG SPAs including take-or-pay &amp; commercial terms</w:t>
            </w:r>
          </w:p>
          <w:p>
            <w:pPr>
              <w:pStyle w:val="Normal"/>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Spot Sales of LNG possible</w:t>
            </w:r>
          </w:p>
          <w:p>
            <w:pPr>
              <w:pStyle w:val="Normal"/>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Petronet &amp; other importers of LNG may utilise excess capacity contracted from OLNG / AdGas</w:t>
            </w:r>
          </w:p>
          <w:p>
            <w:pPr>
              <w:pStyle w:val="Normal"/>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MoP&amp;NG to examine integration of Petronet’expansion plans with optimum utilisation of Dabhol LNG Facility (Necessary pipeline investments to be examined)</w:t>
            </w:r>
          </w:p>
          <w:p>
            <w:pPr>
              <w:pStyle w:val="Normal"/>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Shipping Charter to be utilised for Spot Sales of LNG</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Possibilities of spot sales / sharing of time charter, could be explored subject to the following: </w:t>
            </w:r>
          </w:p>
          <w:p>
            <w:pPr>
              <w:pStyle w:val="Normal"/>
              <w:numPr>
                <w:ilvl w:val="0"/>
                <w:numId w:val="11"/>
              </w:numPr>
              <w:jc w:val="both"/>
              <w:rPr>
                <w:rFonts w:ascii="Arial" w:hAnsi="Arial" w:cs="Arial"/>
              </w:rPr>
            </w:pPr>
            <w:r>
              <w:rPr>
                <w:rFonts w:cs="Arial" w:ascii="Arial" w:hAnsi="Arial"/>
              </w:rPr>
              <w:t>Relevant approvals from MSEB &amp; other agencies</w:t>
            </w:r>
          </w:p>
          <w:p>
            <w:pPr>
              <w:pStyle w:val="Normal"/>
              <w:numPr>
                <w:ilvl w:val="0"/>
                <w:numId w:val="11"/>
              </w:numPr>
              <w:jc w:val="both"/>
              <w:rPr>
                <w:rFonts w:ascii="Arial" w:hAnsi="Arial" w:cs="Arial"/>
              </w:rPr>
            </w:pPr>
            <w:r>
              <w:rPr>
                <w:rFonts w:cs="Arial" w:ascii="Arial" w:hAnsi="Arial"/>
              </w:rPr>
              <w:t>MSEB to bear any loss on account of spot sales effected at a discount</w:t>
            </w:r>
          </w:p>
          <w:p>
            <w:pPr>
              <w:pStyle w:val="Normal"/>
              <w:jc w:val="both"/>
              <w:rPr>
                <w:rFonts w:ascii="Arial" w:hAnsi="Arial" w:cs="Arial"/>
              </w:rPr>
            </w:pPr>
            <w:r>
              <w:rPr>
                <w:rFonts w:cs="Arial" w:ascii="Arial" w:hAnsi="Arial"/>
              </w:rPr>
            </w:r>
          </w:p>
          <w:p>
            <w:pPr>
              <w:pStyle w:val="BodyText"/>
              <w:rPr/>
            </w:pPr>
            <w:r>
              <w:rPr/>
              <w:t>Since, all project documents are tightly inter-linked, it would not be possible to renegotiate the LNG SPAs in isolation. However, the possibility of the same could be explored subject to agreement by other stakeholders.</w:t>
            </w:r>
          </w:p>
          <w:p>
            <w:pPr>
              <w:pStyle w:val="Normal"/>
              <w:jc w:val="both"/>
              <w:rPr>
                <w:rFonts w:ascii="Arial" w:hAnsi="Arial" w:cs="Arial"/>
              </w:rPr>
            </w:pPr>
            <w:r>
              <w:rPr>
                <w:rFonts w:cs="Arial" w:ascii="Arial" w:hAnsi="Arial"/>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rFonts w:ascii="Arial" w:hAnsi="Arial" w:cs="Arial"/>
              </w:rPr>
            </w:pPr>
            <w:r>
              <w:rPr>
                <w:rFonts w:cs="Arial" w:ascii="Arial" w:hAnsi="Arial"/>
              </w:rPr>
              <w:t>Convert the tariff to two-part tariff, based on the GoI guidelines &amp; Availability-based Tariff</w:t>
            </w:r>
          </w:p>
        </w:tc>
        <w:tc>
          <w:tcPr>
            <w:tcW w:w="3476" w:type="dxa"/>
            <w:tcBorders>
              <w:top w:val="single" w:sz="4" w:space="0" w:color="000000"/>
              <w:start w:val="single" w:sz="4" w:space="0" w:color="000000"/>
              <w:bottom w:val="single" w:sz="4" w:space="0" w:color="000000"/>
              <w:end w:val="single" w:sz="4" w:space="0" w:color="000000"/>
            </w:tcBorders>
          </w:tcPr>
          <w:p>
            <w:pPr>
              <w:pStyle w:val="Normal"/>
              <w:numPr>
                <w:ilvl w:val="0"/>
                <w:numId w:val="13"/>
              </w:numPr>
              <w:jc w:val="both"/>
              <w:rPr>
                <w:rFonts w:ascii="Arial" w:hAnsi="Arial" w:cs="Arial"/>
              </w:rPr>
            </w:pPr>
            <w:r>
              <w:rPr>
                <w:rFonts w:cs="Arial" w:ascii="Arial" w:hAnsi="Arial"/>
              </w:rPr>
              <w:t>Allow availability–linked incentives, but limit equity return substantially</w:t>
            </w:r>
          </w:p>
          <w:p>
            <w:pPr>
              <w:pStyle w:val="Normal"/>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Gradual ramp-up in off-take from 30% PLF in 2002 to 68% PLF in 2007</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Undue advantage being taken of the fact that the project is already financially closed &amp; under construction / operation.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Power projects operating at 30% PLF unheard of. Project would be rendered unviable at such low dispatch levels. </w:t>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rFonts w:ascii="Arial" w:hAnsi="Arial" w:cs="Arial"/>
              </w:rPr>
            </w:pPr>
            <w:r>
              <w:rPr>
                <w:rFonts w:cs="Arial" w:ascii="Arial" w:hAnsi="Arial"/>
              </w:rPr>
              <w:t>Remove all dollar denomination in the Fixed Charge component</w:t>
            </w:r>
          </w:p>
        </w:tc>
        <w:tc>
          <w:tcPr>
            <w:tcW w:w="347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Equity return to be defined in Rupee terms</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 xml:space="preserve">According to the GoI guidelines for IPPs, to ensure that private entrepreneurs bring in additionality of resources to the power sector, </w:t>
            </w:r>
            <w:r>
              <w:rPr>
                <w:rFonts w:cs="Arial" w:ascii="Arial" w:hAnsi="Arial"/>
                <w:u w:val="single"/>
              </w:rPr>
              <w:t xml:space="preserve">not less than 60% of the total outlay for the project must come from sources other than Indian Public Financial Institutions. </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Entire fixed charges in Rupees would have been possible, if the entire funding of the project (both debt &amp; equity) is in Rupee terms. Converting the fixed charge entirely into Rupees would be a fundamental change in the project economics. No lender / sponsors who have invested in the project in dollars will accept to entirely take on the Rupee depreciation risk.</w:t>
            </w:r>
          </w:p>
          <w:p>
            <w:pPr>
              <w:pStyle w:val="Normal"/>
              <w:jc w:val="both"/>
              <w:rPr>
                <w:rFonts w:ascii="Arial" w:hAnsi="Arial" w:cs="Arial"/>
              </w:rPr>
            </w:pPr>
            <w:r>
              <w:rPr>
                <w:rFonts w:cs="Arial" w:ascii="Arial" w:hAnsi="Arial"/>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rFonts w:ascii="Arial" w:hAnsi="Arial" w:cs="Arial"/>
              </w:rPr>
            </w:pPr>
            <w:r>
              <w:rPr>
                <w:rFonts w:cs="Arial" w:ascii="Arial" w:hAnsi="Arial"/>
              </w:rPr>
              <w:t>Financial Restructuring of DPC</w:t>
            </w:r>
          </w:p>
        </w:tc>
        <w:tc>
          <w:tcPr>
            <w:tcW w:w="3476" w:type="dxa"/>
            <w:tcBorders>
              <w:top w:val="single" w:sz="4" w:space="0" w:color="000000"/>
              <w:start w:val="single" w:sz="4" w:space="0" w:color="000000"/>
              <w:bottom w:val="single" w:sz="4" w:space="0" w:color="000000"/>
              <w:end w:val="single" w:sz="4" w:space="0" w:color="000000"/>
            </w:tcBorders>
          </w:tcPr>
          <w:p>
            <w:pPr>
              <w:pStyle w:val="Normal"/>
              <w:numPr>
                <w:ilvl w:val="0"/>
                <w:numId w:val="7"/>
              </w:numPr>
              <w:jc w:val="both"/>
              <w:rPr>
                <w:rFonts w:ascii="Arial" w:hAnsi="Arial" w:cs="Arial"/>
              </w:rPr>
            </w:pPr>
            <w:r>
              <w:rPr>
                <w:rFonts w:cs="Arial" w:ascii="Arial" w:hAnsi="Arial"/>
              </w:rPr>
              <w:t>DPC should forego a portion of its RoE to make the project viable</w:t>
            </w:r>
          </w:p>
          <w:p>
            <w:pPr>
              <w:pStyle w:val="Normal"/>
              <w:numPr>
                <w:ilvl w:val="0"/>
                <w:numId w:val="7"/>
              </w:numPr>
              <w:jc w:val="both"/>
              <w:rPr>
                <w:rFonts w:ascii="Arial" w:hAnsi="Arial" w:cs="Arial"/>
              </w:rPr>
            </w:pPr>
            <w:r>
              <w:rPr>
                <w:rFonts w:cs="Arial" w:ascii="Arial" w:hAnsi="Arial"/>
              </w:rPr>
              <w:t>Equity may be restructured into deferred preference capital (to backload tariff)</w:t>
            </w:r>
          </w:p>
          <w:p>
            <w:pPr>
              <w:pStyle w:val="Normal"/>
              <w:numPr>
                <w:ilvl w:val="0"/>
                <w:numId w:val="7"/>
              </w:numPr>
              <w:jc w:val="both"/>
              <w:rPr>
                <w:rFonts w:ascii="Arial" w:hAnsi="Arial" w:cs="Arial"/>
              </w:rPr>
            </w:pPr>
            <w:r>
              <w:rPr>
                <w:rFonts w:cs="Arial" w:ascii="Arial" w:hAnsi="Arial"/>
              </w:rPr>
              <w:t>Debt tenor to be increased to 15 years, with an initial moratorium of 5 years</w:t>
            </w:r>
          </w:p>
          <w:p>
            <w:pPr>
              <w:pStyle w:val="Normal"/>
              <w:numPr>
                <w:ilvl w:val="0"/>
                <w:numId w:val="7"/>
              </w:numPr>
              <w:jc w:val="both"/>
              <w:rPr>
                <w:rFonts w:ascii="Arial" w:hAnsi="Arial" w:cs="Arial"/>
              </w:rPr>
            </w:pPr>
            <w:r>
              <w:rPr>
                <w:rFonts w:cs="Arial" w:ascii="Arial" w:hAnsi="Arial"/>
              </w:rPr>
              <w:t>Suitably convert $ debt to Rupee debt</w:t>
            </w:r>
          </w:p>
          <w:p>
            <w:pPr>
              <w:pStyle w:val="Normal"/>
              <w:numPr>
                <w:ilvl w:val="0"/>
                <w:numId w:val="7"/>
              </w:numPr>
              <w:jc w:val="both"/>
              <w:rPr>
                <w:rFonts w:ascii="Arial" w:hAnsi="Arial" w:cs="Arial"/>
              </w:rPr>
            </w:pPr>
            <w:r>
              <w:rPr>
                <w:rFonts w:cs="Arial" w:ascii="Arial" w:hAnsi="Arial"/>
              </w:rPr>
              <w:t>Indicative interest rates to be 12% in Rupee terms or 6% in $ terms</w:t>
            </w:r>
          </w:p>
          <w:p>
            <w:pPr>
              <w:pStyle w:val="Normal"/>
              <w:jc w:val="both"/>
              <w:rPr>
                <w:rFonts w:ascii="Arial" w:hAnsi="Arial" w:cs="Arial"/>
              </w:rPr>
            </w:pPr>
            <w:r>
              <w:rPr>
                <w:rFonts w:cs="Arial" w:ascii="Arial" w:hAnsi="Arial"/>
              </w:rPr>
            </w:r>
          </w:p>
        </w:tc>
        <w:tc>
          <w:tcPr>
            <w:tcW w:w="2790" w:type="dxa"/>
            <w:tcBorders>
              <w:top w:val="single" w:sz="4" w:space="0" w:color="000000"/>
              <w:start w:val="single" w:sz="4" w:space="0" w:color="000000"/>
              <w:bottom w:val="single" w:sz="4" w:space="0" w:color="000000"/>
              <w:end w:val="single" w:sz="4" w:space="0" w:color="000000"/>
            </w:tcBorders>
          </w:tcPr>
          <w:p>
            <w:pPr>
              <w:pStyle w:val="Normal"/>
              <w:numPr>
                <w:ilvl w:val="0"/>
                <w:numId w:val="10"/>
              </w:numPr>
              <w:jc w:val="both"/>
              <w:rPr>
                <w:rFonts w:ascii="Arial" w:hAnsi="Arial" w:cs="Arial"/>
              </w:rPr>
            </w:pPr>
            <w:r>
              <w:rPr>
                <w:rFonts w:cs="Arial" w:ascii="Arial" w:hAnsi="Arial"/>
              </w:rPr>
              <w:t>It may be possible to get the Sponsors to convert a portion of RoE in Rupee terms</w:t>
            </w:r>
          </w:p>
          <w:p>
            <w:pPr>
              <w:pStyle w:val="Normal"/>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MSEB equity can be converted into preference capital</w:t>
            </w:r>
          </w:p>
          <w:p>
            <w:pPr>
              <w:pStyle w:val="Normal"/>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Would be difficult for Lenders to reduce interest rates (and that too, to sub-PLR levels) &amp; increase tenor of the loans, with a increased moratorium, inspite of additional perceivable risks</w:t>
            </w:r>
          </w:p>
          <w:p>
            <w:pPr>
              <w:pStyle w:val="Normal"/>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If dollar loans are to be replaced with Rupee loans, Indian Lenders need to have the appetite to accordingly increase their exposure in the project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Committee has recommended that GoM &amp; GoI should credit-enhance the restructured lending. Later, it says that GoM / GoI should limit their exposure to current levels. The Committee has been quite inconsistent in its recommendation.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DPC may be allowed to raise tax-free bonds with GoM guarantee &amp; GoI counter-guarantee, and the proceeds be utilised to retire higher-cost $ debt.</w:t>
            </w:r>
          </w:p>
          <w:p>
            <w:pPr>
              <w:pStyle w:val="Normal"/>
              <w:jc w:val="both"/>
              <w:rPr>
                <w:rFonts w:ascii="Arial" w:hAnsi="Arial" w:cs="Arial"/>
              </w:rPr>
            </w:pPr>
            <w:r>
              <w:rPr>
                <w:rFonts w:cs="Arial" w:ascii="Arial" w:hAnsi="Arial"/>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rFonts w:ascii="Arial" w:hAnsi="Arial" w:cs="Arial"/>
              </w:rPr>
            </w:pPr>
            <w:r>
              <w:rPr>
                <w:rFonts w:cs="Arial" w:ascii="Arial" w:hAnsi="Arial"/>
              </w:rPr>
              <w:t>Cancel the Escrow Agreement</w:t>
            </w:r>
          </w:p>
        </w:tc>
        <w:tc>
          <w:tcPr>
            <w:tcW w:w="347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Escrow agreements would retard reforms / Distribution privitisation </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Cancellation of Escrow Agreement would be a repudiation of the payment security mechanism envisaged at the time of financial closure.</w:t>
            </w:r>
          </w:p>
          <w:p>
            <w:pPr>
              <w:pStyle w:val="Normal"/>
              <w:jc w:val="both"/>
              <w:rPr>
                <w:rFonts w:ascii="Arial" w:hAnsi="Arial" w:eastAsia="Arial" w:cs="Arial"/>
              </w:rPr>
            </w:pPr>
            <w:r>
              <w:rPr>
                <w:rFonts w:eastAsia="Arial" w:cs="Arial" w:ascii="Arial" w:hAnsi="Arial"/>
              </w:rPr>
              <w:t xml:space="preserve"> </w:t>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rFonts w:ascii="Arial" w:hAnsi="Arial" w:cs="Arial"/>
              </w:rPr>
            </w:pPr>
            <w:r>
              <w:rPr>
                <w:rFonts w:cs="Arial" w:ascii="Arial" w:hAnsi="Arial"/>
              </w:rPr>
              <w:t>Renegotiate the Heat Rate to match the EPC Guaranteed Heat Rate</w:t>
            </w:r>
          </w:p>
        </w:tc>
        <w:tc>
          <w:tcPr>
            <w:tcW w:w="347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The EPC Guaranteed Heat Rate has been specified at 100% PLF, at test conditions &amp; does not take into consideration the degradation of Heat Rate over the PPA term. Therefore, the PPA Heat Rate cannot be matched with the EPC Guaranteed Heat Rate.</w:t>
            </w:r>
          </w:p>
          <w:p>
            <w:pPr>
              <w:pStyle w:val="Normal"/>
              <w:jc w:val="both"/>
              <w:rPr>
                <w:rFonts w:ascii="Arial" w:hAnsi="Arial" w:cs="Arial"/>
              </w:rPr>
            </w:pPr>
            <w:r>
              <w:rPr>
                <w:rFonts w:cs="Arial" w:ascii="Arial" w:hAnsi="Arial"/>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rFonts w:ascii="Arial" w:hAnsi="Arial" w:cs="Arial"/>
              </w:rPr>
            </w:pPr>
            <w:r>
              <w:rPr>
                <w:rFonts w:cs="Arial" w:ascii="Arial" w:hAnsi="Arial"/>
              </w:rPr>
              <w:t>Benchmark the Renegotiated Tariff</w:t>
            </w:r>
          </w:p>
        </w:tc>
        <w:tc>
          <w:tcPr>
            <w:tcW w:w="347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Benchmark DPC tariff against other gas-based projects &amp; the price at which PTC / other States are willing to purchase power.</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Benchmarking of DPC tariff against other projects may not be appropriate because:</w:t>
            </w:r>
          </w:p>
          <w:p>
            <w:pPr>
              <w:pStyle w:val="Normal"/>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 other LNG-project is likely to be operational in the same timeframe</w:t>
            </w:r>
          </w:p>
          <w:p>
            <w:pPr>
              <w:pStyle w:val="Normal"/>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 other project has similar scope, in terms of power plant, LNG facility, &amp; other community facilities (including hospital, school, ITI, etc.)</w:t>
            </w:r>
          </w:p>
          <w:p>
            <w:pPr>
              <w:pStyle w:val="Normal"/>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 other project involved similar amount of developmental effort on virgin land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Any comparison with other projects would not be a like-to-like comparison &amp; would lead to inappropriate conclusions.</w:t>
            </w:r>
          </w:p>
          <w:p>
            <w:pPr>
              <w:pStyle w:val="Normal"/>
              <w:jc w:val="both"/>
              <w:rPr>
                <w:rFonts w:ascii="Arial" w:hAnsi="Arial" w:cs="Arial"/>
              </w:rPr>
            </w:pPr>
            <w:r>
              <w:rPr>
                <w:rFonts w:cs="Arial" w:ascii="Arial" w:hAnsi="Arial"/>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rPr>
            </w:pPr>
            <w:r>
              <w:rPr>
                <w:rFonts w:cs="Arial" w:ascii="Arial" w:hAnsi="Arial"/>
                <w:b/>
              </w:rPr>
              <w:t>Allow sale of DPC power outside MSEB</w:t>
            </w:r>
          </w:p>
        </w:tc>
        <w:tc>
          <w:tcPr>
            <w:tcW w:w="3476" w:type="dxa"/>
            <w:tcBorders>
              <w:top w:val="single" w:sz="4" w:space="0" w:color="000000"/>
              <w:start w:val="single" w:sz="4" w:space="0" w:color="000000"/>
              <w:bottom w:val="single" w:sz="4" w:space="0" w:color="000000"/>
              <w:end w:val="single" w:sz="4" w:space="0" w:color="000000"/>
            </w:tcBorders>
          </w:tcPr>
          <w:p>
            <w:pPr>
              <w:pStyle w:val="Normal"/>
              <w:numPr>
                <w:ilvl w:val="0"/>
                <w:numId w:val="5"/>
              </w:numPr>
              <w:jc w:val="both"/>
              <w:rPr>
                <w:rFonts w:ascii="Arial" w:hAnsi="Arial" w:cs="Arial"/>
              </w:rPr>
            </w:pPr>
            <w:r>
              <w:rPr>
                <w:rFonts w:cs="Arial" w:ascii="Arial" w:hAnsi="Arial"/>
              </w:rPr>
              <w:t xml:space="preserve">DPC to designate certain capacity for sale outside MSEB system </w:t>
            </w:r>
          </w:p>
          <w:p>
            <w:pPr>
              <w:pStyle w:val="Normal"/>
              <w:numPr>
                <w:ilvl w:val="0"/>
                <w:numId w:val="3"/>
              </w:numPr>
              <w:jc w:val="both"/>
              <w:rPr>
                <w:rFonts w:ascii="Arial" w:hAnsi="Arial" w:cs="Arial"/>
              </w:rPr>
            </w:pPr>
            <w:r>
              <w:rPr>
                <w:rFonts w:cs="Arial" w:ascii="Arial" w:hAnsi="Arial"/>
              </w:rPr>
              <w:t>Fixed charges for MSEB to be reduced proportionately</w:t>
            </w:r>
          </w:p>
          <w:p>
            <w:pPr>
              <w:pStyle w:val="Normal"/>
              <w:numPr>
                <w:ilvl w:val="0"/>
                <w:numId w:val="3"/>
              </w:numPr>
              <w:jc w:val="both"/>
              <w:rPr>
                <w:rFonts w:ascii="Arial" w:hAnsi="Arial" w:cs="Arial"/>
              </w:rPr>
            </w:pPr>
            <w:r>
              <w:rPr>
                <w:rFonts w:cs="Arial" w:ascii="Arial" w:hAnsi="Arial"/>
              </w:rPr>
              <w:t>Alternatively, if DPC finds it difficult to restructure its tariff, as recommended, &amp; is able to find other buyers outside the MSEB system, DPC to relieve MSEB of all its obligations</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MSEB is in the best position to pool power from DPC &amp; its own generating stations &amp; then onward sell to other States at a reasonable price, based on market dynamics. Further, since MSEB is the owner / operator of the Transmission facilities in the State, it would be appropriate that MSEB effects the sale to other States.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DPC could assist MSEB in exploring opportunities in the market.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Committee’s alternative recommendation is not commercially feasible.</w:t>
            </w:r>
          </w:p>
          <w:p>
            <w:pPr>
              <w:pStyle w:val="Normal"/>
              <w:jc w:val="both"/>
              <w:rPr>
                <w:rFonts w:ascii="Arial" w:hAnsi="Arial" w:cs="Arial"/>
              </w:rPr>
            </w:pPr>
            <w:r>
              <w:rPr>
                <w:rFonts w:cs="Arial" w:ascii="Arial" w:hAnsi="Arial"/>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Heading1"/>
              <w:ind w:hanging="0" w:start="0"/>
              <w:jc w:val="both"/>
              <w:rPr>
                <w:rFonts w:ascii="Arial" w:hAnsi="Arial" w:cs="Arial"/>
              </w:rPr>
            </w:pPr>
            <w:r>
              <w:rPr>
                <w:rFonts w:cs="Arial" w:ascii="Arial" w:hAnsi="Arial"/>
              </w:rPr>
              <w:t>Reform of MSEB</w:t>
            </w:r>
          </w:p>
        </w:tc>
        <w:tc>
          <w:tcPr>
            <w:tcW w:w="347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No Escrow of Distribution regions to avoid hindering distribution privitisation </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 comments.</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shd w:fill="B2B2B2" w:val="clear"/>
      <w:jc w:val="center"/>
      <w:outlineLvl w:val="1"/>
    </w:pPr>
    <w:rPr>
      <w:rFonts w:ascii="Arial" w:hAnsi="Arial" w:cs="Arial"/>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2001-04-14T23:29:00Z</dcterms:created>
  <dc:creator>Gaurav Varshney</dc:creator>
  <dc:description/>
  <dc:language>en-CA</dc:language>
  <cp:lastModifiedBy>Gaurav Varshney</cp:lastModifiedBy>
  <cp:lastPrinted>2001-04-14T18:14:00Z</cp:lastPrinted>
  <dcterms:modified xsi:type="dcterms:W3CDTF">2001-04-14T23:36:00Z</dcterms:modified>
  <cp:revision>3</cp:revision>
  <dc:subject/>
  <dc:title>Committee’s Recommendations</dc:title>
</cp:coreProperties>
</file>