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Goals for Corporate Responsibility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July - December 2001</w:t>
      </w:r>
    </w:p>
    <w:p>
      <w:pPr>
        <w:pStyle w:val="Heading1"/>
        <w:ind w:hanging="0" w:start="0"/>
        <w:rPr/>
      </w:pPr>
      <w:r>
        <w:rPr/>
        <w:t>Kelly Kimberly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>Complete research necessary to determine current perceptions of Enron and CSR.</w:t>
      </w:r>
    </w:p>
    <w:p>
      <w:pPr>
        <w:pStyle w:val="Normal"/>
        <w:numPr>
          <w:ilvl w:val="0"/>
          <w:numId w:val="4"/>
        </w:numPr>
        <w:rPr/>
      </w:pPr>
      <w:r>
        <w:rPr/>
        <w:t>Complete stakeholder analysis:  identify goals and tactics of all leading international NGOs; evaluate policy positions of organizations in which Enron is a member.</w:t>
      </w:r>
    </w:p>
    <w:p>
      <w:pPr>
        <w:pStyle w:val="Normal"/>
        <w:numPr>
          <w:ilvl w:val="0"/>
          <w:numId w:val="4"/>
        </w:numPr>
        <w:rPr/>
      </w:pPr>
      <w:r>
        <w:rPr/>
        <w:t>Conduct stakeholder survey in US, Japan and Europe to determine importance of CSR issues and views of Enron’s performance in this area.</w:t>
      </w:r>
    </w:p>
    <w:p>
      <w:pPr>
        <w:pStyle w:val="Normal"/>
        <w:numPr>
          <w:ilvl w:val="0"/>
          <w:numId w:val="4"/>
        </w:numPr>
        <w:rPr/>
      </w:pPr>
      <w:r>
        <w:rPr/>
        <w:t>Conduct internal interviews with executives and employee survey to determine internal views and understanding of CSR issues.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  <w:t>Complete work of Corporate Responsibility subcommittees and gain approval for their recommendations.</w:t>
      </w:r>
    </w:p>
    <w:p>
      <w:pPr>
        <w:pStyle w:val="Normal"/>
        <w:numPr>
          <w:ilvl w:val="0"/>
          <w:numId w:val="8"/>
        </w:numPr>
        <w:rPr/>
      </w:pPr>
      <w:r>
        <w:rPr/>
        <w:t>Complete benchmarking, make recommendations on incorporating CSR in RAC/PRC, roll out training recommendations and launch internal communication program to build awareness of CSR.</w:t>
      </w:r>
    </w:p>
    <w:p>
      <w:pPr>
        <w:pStyle w:val="Normal"/>
        <w:numPr>
          <w:ilvl w:val="0"/>
          <w:numId w:val="8"/>
        </w:numPr>
        <w:rPr/>
      </w:pPr>
      <w:r>
        <w:rPr/>
        <w:t>Present recommendations to policy committee</w:t>
      </w:r>
    </w:p>
    <w:p>
      <w:pPr>
        <w:pStyle w:val="Normal"/>
        <w:numPr>
          <w:ilvl w:val="0"/>
          <w:numId w:val="8"/>
        </w:numPr>
        <w:rPr/>
      </w:pPr>
      <w:r>
        <w:rPr/>
        <w:t>Continue to present progress, key issues/emerging trends to Governance committee of Enron board.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>Develop policies for CSR issues.</w:t>
      </w:r>
    </w:p>
    <w:p>
      <w:pPr>
        <w:pStyle w:val="Normal"/>
        <w:numPr>
          <w:ilvl w:val="0"/>
          <w:numId w:val="5"/>
        </w:numPr>
        <w:rPr/>
      </w:pPr>
      <w:r>
        <w:rPr/>
        <w:t>Seek input for, prepare and vet Indigenous peoples policy.  Gain necessary internal approvals.</w:t>
      </w:r>
    </w:p>
    <w:p>
      <w:pPr>
        <w:pStyle w:val="Normal"/>
        <w:numPr>
          <w:ilvl w:val="0"/>
          <w:numId w:val="5"/>
        </w:numPr>
        <w:rPr/>
      </w:pPr>
      <w:r>
        <w:rPr/>
        <w:t>Prepare security and human rights policy; consider signing on to US/UK Security and Human Rights initiative.</w:t>
      </w:r>
    </w:p>
    <w:p>
      <w:pPr>
        <w:pStyle w:val="Normal"/>
        <w:numPr>
          <w:ilvl w:val="0"/>
          <w:numId w:val="5"/>
        </w:numPr>
        <w:rPr/>
      </w:pPr>
      <w:r>
        <w:rPr/>
        <w:t>Prepare stakeholder engagement procedures for all projects.</w:t>
      </w:r>
    </w:p>
    <w:p>
      <w:pPr>
        <w:pStyle w:val="Normal"/>
        <w:numPr>
          <w:ilvl w:val="0"/>
          <w:numId w:val="5"/>
        </w:numPr>
        <w:rPr/>
      </w:pPr>
      <w:r>
        <w:rPr/>
        <w:t>Track trends in CSR regarding traded commodities and make recommendations as appropriate—without making this an issue before it becomes one.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4.</w:t>
        <w:tab/>
        <w:t>Continue to build relationships with NGOs and establish Enron as a leader in the field.</w:t>
      </w:r>
    </w:p>
    <w:p>
      <w:pPr>
        <w:pStyle w:val="Normal"/>
        <w:numPr>
          <w:ilvl w:val="0"/>
          <w:numId w:val="6"/>
        </w:numPr>
        <w:rPr/>
      </w:pPr>
      <w:r>
        <w:rPr/>
        <w:t>Identify top two social and environmental NGOs and build relationships.</w:t>
      </w:r>
    </w:p>
    <w:p>
      <w:pPr>
        <w:pStyle w:val="Normal"/>
        <w:numPr>
          <w:ilvl w:val="0"/>
          <w:numId w:val="6"/>
        </w:numPr>
        <w:rPr/>
      </w:pPr>
      <w:r>
        <w:rPr/>
        <w:t>Continue dialogue with CERES and determine whether to pursue membership.</w:t>
      </w:r>
    </w:p>
    <w:p>
      <w:pPr>
        <w:pStyle w:val="Normal"/>
        <w:numPr>
          <w:ilvl w:val="0"/>
          <w:numId w:val="6"/>
        </w:numPr>
        <w:rPr/>
      </w:pPr>
      <w:r>
        <w:rPr/>
        <w:t>Review DJSI/FTSE analysis procedures and seek involvement if possible.</w:t>
      </w:r>
    </w:p>
    <w:p>
      <w:pPr>
        <w:pStyle w:val="Normal"/>
        <w:numPr>
          <w:ilvl w:val="0"/>
          <w:numId w:val="6"/>
        </w:numPr>
        <w:rPr/>
      </w:pPr>
      <w:r>
        <w:rPr/>
        <w:t>Continue involvement in WEF and WBCSD; take a leading role for the benefit of Enron.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ind w:hanging="720" w:start="720" w:end="0"/>
        <w:rPr/>
      </w:pPr>
      <w:r>
        <w:rPr/>
        <w:t>Identify projects that require CSR assistance and participate in project development.</w:t>
      </w:r>
    </w:p>
    <w:p>
      <w:pPr>
        <w:pStyle w:val="Normal"/>
        <w:numPr>
          <w:ilvl w:val="0"/>
          <w:numId w:val="2"/>
        </w:numPr>
        <w:rPr/>
      </w:pPr>
      <w:r>
        <w:rPr/>
        <w:t>Complete India security procedures and coordinate with human rights groups.</w:t>
      </w:r>
    </w:p>
    <w:p>
      <w:pPr>
        <w:pStyle w:val="Normal"/>
        <w:numPr>
          <w:ilvl w:val="0"/>
          <w:numId w:val="2"/>
        </w:numPr>
        <w:rPr/>
      </w:pPr>
      <w:r>
        <w:rPr/>
        <w:t>Participate in Calypso projects; coordinate all Florida projects.</w:t>
      </w:r>
    </w:p>
    <w:p>
      <w:pPr>
        <w:pStyle w:val="Normal"/>
        <w:numPr>
          <w:ilvl w:val="0"/>
          <w:numId w:val="2"/>
        </w:numPr>
        <w:rPr/>
      </w:pPr>
      <w:r>
        <w:rPr/>
        <w:t>Continue dialogue with Yakama Nation on Columbia Hills site.</w:t>
      </w:r>
    </w:p>
    <w:p>
      <w:pPr>
        <w:pStyle w:val="Normal"/>
        <w:numPr>
          <w:ilvl w:val="0"/>
          <w:numId w:val="2"/>
        </w:numPr>
        <w:rPr/>
      </w:pPr>
      <w:r>
        <w:rPr/>
        <w:t>Continue to represent Enron on the FCBC Board in Bolivia.</w:t>
      </w:r>
    </w:p>
    <w:p>
      <w:pPr>
        <w:pStyle w:val="Normal"/>
        <w:numPr>
          <w:ilvl w:val="0"/>
          <w:numId w:val="2"/>
        </w:numPr>
        <w:rPr/>
      </w:pPr>
      <w:r>
        <w:rPr/>
        <w:t>Assist Transredes with the expansion financing.</w:t>
      </w:r>
    </w:p>
    <w:p>
      <w:pPr>
        <w:pStyle w:val="Normal"/>
        <w:numPr>
          <w:ilvl w:val="0"/>
          <w:numId w:val="2"/>
        </w:numPr>
        <w:rPr/>
      </w:pPr>
      <w:r>
        <w:rPr/>
        <w:t>Continue to respond to investor and lender questions regarding performance.</w:t>
      </w:r>
    </w:p>
    <w:p>
      <w:pPr>
        <w:pStyle w:val="Normal"/>
        <w:numPr>
          <w:ilvl w:val="0"/>
          <w:numId w:val="2"/>
        </w:numPr>
        <w:rPr/>
      </w:pPr>
      <w:r>
        <w:rPr/>
        <w:t>Identify additional projects where CSR involvement can be helpful and participate.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</w:t>
        <w:tab/>
        <w:t>Launch training initiative internally.</w:t>
      </w:r>
    </w:p>
    <w:p>
      <w:pPr>
        <w:pStyle w:val="Normal"/>
        <w:numPr>
          <w:ilvl w:val="0"/>
          <w:numId w:val="7"/>
        </w:numPr>
        <w:rPr/>
      </w:pPr>
      <w:r>
        <w:rPr/>
        <w:t>Schedule meetings with departments/operating companies to explain program and services available from department.</w:t>
      </w:r>
    </w:p>
    <w:p>
      <w:pPr>
        <w:pStyle w:val="Normal"/>
        <w:numPr>
          <w:ilvl w:val="0"/>
          <w:numId w:val="7"/>
        </w:numPr>
        <w:rPr/>
      </w:pPr>
      <w:r>
        <w:rPr/>
        <w:t>Hold a series of community engagement workshops for developers.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5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2001-08-14T10:48:00Z</dcterms:created>
  <dc:creator>kkimber</dc:creator>
  <dc:description/>
  <dc:language>en-CA</dc:language>
  <cp:lastModifiedBy>swalker4</cp:lastModifiedBy>
  <dcterms:modified xsi:type="dcterms:W3CDTF">2001-08-14T10:59:00Z</dcterms:modified>
  <cp:revision>5</cp:revision>
  <dc:subject/>
  <dc:title>Corporate Responsibility Goals</dc:title>
</cp:coreProperties>
</file>