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pPr>
      <w:r>
        <w:rPr>
          <w:sz w:val="22"/>
        </w:rPr>
        <w:tab/>
        <w:t xml:space="preserve">This First Amendment to ISDA Master Agreement dated as of July 11, 1994  (the “Amendment”), is made and entered into by and between </w:t>
      </w:r>
      <w:r>
        <w:rPr>
          <w:b/>
          <w:bCs/>
          <w:sz w:val="22"/>
        </w:rPr>
        <w:t>Glencore Ltd.</w:t>
      </w:r>
      <w:r>
        <w:rPr>
          <w:sz w:val="22"/>
        </w:rPr>
        <w:t xml:space="preserve"> (“Counterparty”), </w:t>
      </w:r>
      <w:r>
        <w:rPr>
          <w:b/>
          <w:bCs/>
          <w:sz w:val="22"/>
        </w:rPr>
        <w:t>Glencore AG</w:t>
      </w:r>
      <w:r>
        <w:rPr>
          <w:sz w:val="22"/>
        </w:rPr>
        <w:t xml:space="preserve"> and </w:t>
      </w:r>
      <w:r>
        <w:rPr>
          <w:b/>
          <w:bCs/>
          <w:sz w:val="22"/>
        </w:rPr>
        <w:t>Enron North America Corp.</w:t>
      </w:r>
      <w:r>
        <w:rPr>
          <w:sz w:val="22"/>
        </w:rPr>
        <w:t xml:space="preserve"> (formerly known as Enron Capital &amp; Trade Resources Corp.) (“ENA”).</w:t>
      </w:r>
    </w:p>
    <w:p>
      <w:pPr>
        <w:pStyle w:val="Normal"/>
        <w:jc w:val="both"/>
        <w:rPr>
          <w:sz w:val="22"/>
        </w:rPr>
      </w:pPr>
      <w:r>
        <w:rPr>
          <w:sz w:val="22"/>
        </w:rPr>
      </w:r>
    </w:p>
    <w:p>
      <w:pPr>
        <w:pStyle w:val="Normal"/>
        <w:jc w:val="both"/>
        <w:rPr/>
      </w:pPr>
      <w:r>
        <w:rPr>
          <w:sz w:val="22"/>
        </w:rPr>
        <w:tab/>
        <w:t xml:space="preserve">WHEREAS, Counterparty and ENA entered into that certain </w:t>
      </w:r>
      <w:r>
        <w:rPr/>
        <w:t>ISDA Master</w:t>
      </w:r>
      <w:r>
        <w:rPr>
          <w:sz w:val="22"/>
        </w:rPr>
        <w:t xml:space="preserve"> Agreement dated as of July 11, 1994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The Master Agreement is hereby amended as follows:</w:t>
      </w:r>
    </w:p>
    <w:p>
      <w:pPr>
        <w:pStyle w:val="Normal"/>
        <w:jc w:val="both"/>
        <w:rPr>
          <w:sz w:val="22"/>
        </w:rPr>
      </w:pPr>
      <w:r>
        <w:rPr>
          <w:sz w:val="22"/>
        </w:rPr>
        <w:tab/>
      </w:r>
    </w:p>
    <w:p>
      <w:pPr>
        <w:pStyle w:val="BodyTextIndent"/>
        <w:rPr/>
      </w:pPr>
      <w:r>
        <w:rPr/>
        <w:t>1.</w:t>
        <w:tab/>
        <w:t>By deleting the name “GLENCORE LTD.” in the fist line of the Master Agreement and replacing it with the name “GLENCORE AG”;</w:t>
      </w:r>
    </w:p>
    <w:p>
      <w:pPr>
        <w:pStyle w:val="BodyTextIndent"/>
        <w:rPr/>
      </w:pPr>
      <w:r>
        <w:rPr/>
      </w:r>
    </w:p>
    <w:p>
      <w:pPr>
        <w:pStyle w:val="BodyTextIndent"/>
        <w:rPr/>
      </w:pPr>
      <w:r>
        <w:rPr/>
        <w:t>2.</w:t>
        <w:tab/>
        <w:t>By deleting the name “GLENCORE LTD.” on the first page of the Schedule to the Master Agreement and replacing it with the name “GLENCORE AG”.</w:t>
      </w:r>
    </w:p>
    <w:p>
      <w:pPr>
        <w:pStyle w:val="Normal"/>
        <w:jc w:val="both"/>
        <w:rPr>
          <w:sz w:val="22"/>
        </w:rPr>
      </w:pPr>
      <w:r>
        <w:rPr>
          <w:sz w:val="22"/>
        </w:rPr>
      </w:r>
    </w:p>
    <w:p>
      <w:pPr>
        <w:pStyle w:val="Normal"/>
        <w:jc w:val="both"/>
        <w:rPr>
          <w:sz w:val="22"/>
        </w:rPr>
      </w:pPr>
      <w:r>
        <w:rPr>
          <w:sz w:val="22"/>
        </w:rPr>
        <w:t>3.</w:t>
        <w:tab/>
        <w:t>By amending Part 4(c)(ii) of the Schedule to the Master Agreement in its entirety to read:</w:t>
      </w:r>
    </w:p>
    <w:p>
      <w:pPr>
        <w:pStyle w:val="Normal"/>
        <w:ind w:firstLine="720" w:end="0"/>
        <w:jc w:val="both"/>
        <w:rPr>
          <w:sz w:val="22"/>
        </w:rPr>
      </w:pPr>
      <w:r>
        <w:rPr>
          <w:sz w:val="22"/>
        </w:rPr>
      </w:r>
    </w:p>
    <w:p>
      <w:pPr>
        <w:pStyle w:val="Normal"/>
        <w:ind w:firstLine="720" w:end="0"/>
        <w:jc w:val="both"/>
        <w:rPr>
          <w:sz w:val="22"/>
        </w:rPr>
      </w:pPr>
      <w:r>
        <w:rPr>
          <w:sz w:val="22"/>
        </w:rPr>
        <w:t>“</w:t>
      </w:r>
      <w:r>
        <w:rPr>
          <w:sz w:val="22"/>
        </w:rPr>
        <w:t>(ii)</w:t>
        <w:tab/>
        <w:t>For the purpose of Section 10(c):</w:t>
      </w:r>
    </w:p>
    <w:p>
      <w:pPr>
        <w:pStyle w:val="Normal"/>
        <w:ind w:firstLine="720" w:end="0"/>
        <w:jc w:val="both"/>
        <w:rPr>
          <w:sz w:val="22"/>
        </w:rPr>
      </w:pPr>
      <w:r>
        <w:rPr>
          <w:sz w:val="22"/>
        </w:rPr>
      </w:r>
    </w:p>
    <w:p>
      <w:pPr>
        <w:pStyle w:val="Normal"/>
        <w:ind w:firstLine="720" w:start="720" w:end="0"/>
        <w:jc w:val="both"/>
        <w:rPr>
          <w:sz w:val="22"/>
        </w:rPr>
      </w:pPr>
      <w:r>
        <w:rPr>
          <w:sz w:val="22"/>
        </w:rPr>
        <w:t>Party A is not a Multibranch Party.</w:t>
      </w:r>
    </w:p>
    <w:p>
      <w:pPr>
        <w:pStyle w:val="Normal"/>
        <w:ind w:firstLine="720" w:start="720" w:end="0"/>
        <w:jc w:val="both"/>
        <w:rPr>
          <w:sz w:val="22"/>
        </w:rPr>
      </w:pPr>
      <w:r>
        <w:rPr>
          <w:sz w:val="22"/>
        </w:rPr>
      </w:r>
    </w:p>
    <w:p>
      <w:pPr>
        <w:pStyle w:val="Normal"/>
        <w:ind w:firstLine="720" w:start="720" w:end="0"/>
        <w:jc w:val="both"/>
        <w:rPr>
          <w:sz w:val="22"/>
        </w:rPr>
      </w:pPr>
      <w:r>
        <w:rPr>
          <w:sz w:val="22"/>
        </w:rPr>
        <w:t>Party B is a Multibranch Party and, for the purposes of this Master Agreement  and each Transaction entered into pursuant hereto, may act through: (x) its head office located in Baar, Switzerland; (y) and its branch office, known as Glencore Ltd., in Stamford, Connecticut, U.S.A.”</w:t>
      </w:r>
    </w:p>
    <w:p>
      <w:pPr>
        <w:pStyle w:val="Normal"/>
        <w:jc w:val="both"/>
        <w:rPr>
          <w:sz w:val="22"/>
        </w:rPr>
      </w:pPr>
      <w:r>
        <w:rPr>
          <w:sz w:val="22"/>
        </w:rPr>
      </w:r>
    </w:p>
    <w:p>
      <w:pPr>
        <w:pStyle w:val="BodyTextIndent"/>
        <w:rPr/>
      </w:pPr>
      <w:r>
        <w:rPr/>
        <w:t>4.</w:t>
        <w:tab/>
        <w:t>By amending the address of Party B in Part 4(a) of the Schedule to the Master  Agreement to read:</w:t>
      </w:r>
    </w:p>
    <w:p>
      <w:pPr>
        <w:pStyle w:val="BodyTextIndent"/>
        <w:rPr/>
      </w:pPr>
      <w:r>
        <w:rPr/>
      </w:r>
    </w:p>
    <w:p>
      <w:pPr>
        <w:pStyle w:val="BodyTextIndent"/>
        <w:ind w:start="1440" w:end="0"/>
        <w:rPr/>
      </w:pPr>
      <w:r>
        <w:rPr/>
        <w:t>“</w:t>
      </w:r>
      <w:r>
        <w:rPr/>
        <w:t>Address:</w:t>
        <w:tab/>
        <w:tab/>
        <w:t>Glencore AG</w:t>
      </w:r>
    </w:p>
    <w:p>
      <w:pPr>
        <w:pStyle w:val="BodyTextIndent"/>
        <w:ind w:start="1440" w:end="0"/>
        <w:rPr/>
      </w:pPr>
      <w:r>
        <w:rPr/>
        <w:tab/>
        <w:tab/>
        <w:tab/>
        <w:t>c/o Glencore Ltd.</w:t>
      </w:r>
    </w:p>
    <w:p>
      <w:pPr>
        <w:pStyle w:val="BodyTextIndent"/>
        <w:ind w:start="1440" w:end="0"/>
        <w:rPr/>
      </w:pPr>
      <w:r>
        <w:rPr/>
        <w:tab/>
        <w:tab/>
        <w:tab/>
        <w:t>100 First Stamford Place</w:t>
      </w:r>
    </w:p>
    <w:p>
      <w:pPr>
        <w:pStyle w:val="BodyTextIndent"/>
        <w:ind w:start="1440" w:end="0"/>
        <w:rPr/>
      </w:pPr>
      <w:r>
        <w:rPr/>
        <w:tab/>
        <w:tab/>
        <w:tab/>
        <w:t>Stamford, Connecticut 06902”</w:t>
      </w:r>
    </w:p>
    <w:p>
      <w:pPr>
        <w:pStyle w:val="BodyTextIndent"/>
        <w:ind w:start="1440" w:end="0"/>
        <w:rPr/>
      </w:pPr>
      <w:r>
        <w:rPr/>
      </w:r>
    </w:p>
    <w:p>
      <w:pPr>
        <w:pStyle w:val="BodyTextIndent"/>
        <w:rPr/>
      </w:pPr>
      <w:r>
        <w:rPr/>
        <w:t>5.</w:t>
        <w:tab/>
        <w:t>Except as amended hereby, all other terms and conditions of the Master Agreement shall reamin the same and in full force and effect.</w:t>
      </w:r>
    </w:p>
    <w:p>
      <w:pPr>
        <w:pStyle w:val="Normal"/>
        <w:ind w:hanging="720" w:start="720" w:end="0"/>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IN WITNESS WHEREOF , the parties hereto have caused this Amendment to be executed in multiple originals on March __, 2001.</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GLENCORE LTD.</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napToGrid w:val="false"/>
              <w:spacing w:lineRule="exact" w:line="240"/>
              <w:jc w:val="both"/>
              <w:rPr>
                <w:sz w:val="22"/>
              </w:rPr>
            </w:pPr>
            <w:r>
              <w:rPr>
                <w:sz w:val="22"/>
              </w:rPr>
            </w:r>
          </w:p>
        </w:tc>
      </w:tr>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napToGrid w:val="false"/>
              <w:spacing w:lineRule="exact" w:line="240"/>
              <w:jc w:val="both"/>
              <w:rPr>
                <w:sz w:val="22"/>
              </w:rPr>
            </w:pPr>
            <w:r>
              <w:rPr>
                <w:sz w:val="22"/>
              </w:rPr>
            </w:r>
          </w:p>
        </w:tc>
      </w:tr>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GLENCORE AG</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t>__________________________</w:t>
            </w:r>
          </w:p>
          <w:p>
            <w:pPr>
              <w:pStyle w:val="Normal"/>
              <w:spacing w:lineRule="exact" w:line="240"/>
              <w:jc w:val="both"/>
              <w:rPr>
                <w:sz w:val="22"/>
              </w:rPr>
            </w:pPr>
            <w:r>
              <w:rPr>
                <w:sz w:val="22"/>
              </w:rPr>
            </w:r>
          </w:p>
        </w:tc>
      </w:tr>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napToGrid w:val="false"/>
              <w:spacing w:lineRule="exact" w:line="240"/>
              <w:jc w:val="both"/>
              <w:rPr>
                <w:sz w:val="22"/>
              </w:rPr>
            </w:pPr>
            <w:r>
              <w:rPr>
                <w:sz w:val="22"/>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2001-03-01T17:14:00Z</dcterms:created>
  <dc:creator>mheard</dc:creator>
  <dc:description/>
  <dc:language>en-CA</dc:language>
  <cp:lastModifiedBy>fsayre</cp:lastModifiedBy>
  <cp:lastPrinted>2001-03-01T10:28:00Z</cp:lastPrinted>
  <dcterms:modified xsi:type="dcterms:W3CDTF">2001-03-01T18:47:00Z</dcterms:modified>
  <cp:revision>5</cp:revision>
  <dc:subject/>
  <dc:title>AMENDMENT TO MASTER AGREEMENT</dc:title>
</cp:coreProperties>
</file>