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bookmarkStart w:id="0" w:name="currPos"/>
      <w:bookmarkStart w:id="1" w:name="currPos"/>
      <w:bookmarkEnd w:id="1"/>
    </w:p>
    <w:p>
      <w:pPr>
        <w:pStyle w:val="Normal"/>
        <w:ind w:firstLine="720" w:start="5760" w:end="0"/>
        <w:rPr>
          <w:b/>
        </w:rPr>
      </w:pPr>
      <w:r>
        <w:rPr>
          <w:rFonts w:eastAsia="文鼎中楷簡"/>
          <w:lang w:eastAsia="zh-TW"/>
        </w:rPr>
        <w:t xml:space="preserve">10th </w:t>
      </w:r>
      <w:r>
        <w:rPr/>
        <w:t>August, 2000</w:t>
      </w:r>
    </w:p>
    <w:p>
      <w:pPr>
        <w:pStyle w:val="Normal"/>
        <w:rPr>
          <w:b/>
        </w:rPr>
      </w:pPr>
      <w:r>
        <w:rPr>
          <w:b/>
        </w:rPr>
        <w:t>BY FAX &amp; BY COURIER</w:t>
      </w:r>
    </w:p>
    <w:p>
      <w:pPr>
        <w:pStyle w:val="Normal"/>
        <w:rPr/>
      </w:pPr>
      <w:r>
        <w:rPr/>
        <w:t>(Fax No: 8610 6840 2154)</w:t>
      </w:r>
    </w:p>
    <w:p>
      <w:pPr>
        <w:pStyle w:val="Normal"/>
        <w:rPr/>
      </w:pPr>
      <w:r>
        <w:rPr/>
      </w:r>
    </w:p>
    <w:p>
      <w:pPr>
        <w:pStyle w:val="Normal"/>
        <w:rPr>
          <w:rFonts w:eastAsia="文鼎中楷簡"/>
          <w:lang w:eastAsia="zh-TW"/>
        </w:rPr>
      </w:pPr>
      <w:r>
        <w:rPr/>
        <w:t>Madam Wu Xiaoling</w:t>
      </w:r>
    </w:p>
    <w:p>
      <w:pPr>
        <w:pStyle w:val="Normal"/>
        <w:rPr>
          <w:rFonts w:eastAsia="文鼎中楷簡"/>
          <w:lang w:eastAsia="zh-TW"/>
        </w:rPr>
      </w:pPr>
      <w:r>
        <w:rPr/>
        <w:t>Director General</w:t>
      </w:r>
    </w:p>
    <w:p>
      <w:pPr>
        <w:pStyle w:val="Normal"/>
        <w:rPr/>
      </w:pPr>
      <w:r>
        <w:rPr/>
        <w:t>The State Administration of Foreign Exchange</w:t>
      </w:r>
    </w:p>
    <w:p>
      <w:pPr>
        <w:pStyle w:val="Normal"/>
        <w:rPr/>
      </w:pPr>
      <w:r>
        <w:rPr/>
        <w:t>Room 846, Hua Rong Building</w:t>
      </w:r>
    </w:p>
    <w:p>
      <w:pPr>
        <w:pStyle w:val="Normal"/>
        <w:rPr/>
      </w:pPr>
      <w:r>
        <w:rPr/>
        <w:t>18 Fucheng Lu</w:t>
      </w:r>
    </w:p>
    <w:p>
      <w:pPr>
        <w:pStyle w:val="Normal"/>
        <w:rPr/>
      </w:pPr>
      <w:r>
        <w:rPr/>
        <w:t>Haidianqu</w:t>
      </w:r>
    </w:p>
    <w:p>
      <w:pPr>
        <w:pStyle w:val="Normal"/>
        <w:rPr/>
      </w:pPr>
      <w:r>
        <w:rPr/>
        <w:t>Beijing 100037</w:t>
      </w:r>
    </w:p>
    <w:p>
      <w:pPr>
        <w:pStyle w:val="Normal"/>
        <w:rPr/>
      </w:pPr>
      <w:r>
        <w:rPr/>
        <w:t>P.R. China</w:t>
      </w:r>
    </w:p>
    <w:p>
      <w:pPr>
        <w:pStyle w:val="Normal"/>
        <w:rPr/>
      </w:pPr>
      <w:r>
        <w:rPr/>
      </w:r>
    </w:p>
    <w:p>
      <w:pPr>
        <w:pStyle w:val="Normal"/>
        <w:rPr/>
      </w:pPr>
      <w:r>
        <w:rPr/>
        <w:t xml:space="preserve">Dear </w:t>
      </w:r>
      <w:r>
        <w:rPr>
          <w:rFonts w:eastAsia="文鼎中楷簡"/>
          <w:lang w:eastAsia="zh-TW"/>
        </w:rPr>
        <w:t>Madam Wu</w:t>
      </w:r>
      <w:r>
        <w:rPr/>
        <w:t>,</w:t>
      </w:r>
    </w:p>
    <w:p>
      <w:pPr>
        <w:pStyle w:val="Normal"/>
        <w:rPr/>
      </w:pPr>
      <w:r>
        <w:rPr/>
      </w:r>
    </w:p>
    <w:p>
      <w:pPr>
        <w:pStyle w:val="Normal"/>
        <w:rPr>
          <w:b/>
        </w:rPr>
      </w:pPr>
      <w:r>
        <w:rPr>
          <w:b/>
        </w:rPr>
        <w:t>DERIVATIVE TRANSACTIONS WITH PRC INSTITUTIONS</w:t>
      </w:r>
    </w:p>
    <w:p>
      <w:pPr>
        <w:pStyle w:val="Normal"/>
        <w:rPr>
          <w:b/>
        </w:rPr>
      </w:pPr>
      <w:r>
        <w:rPr>
          <w:b/>
        </w:rPr>
      </w:r>
    </w:p>
    <w:p>
      <w:pPr>
        <w:pStyle w:val="Normal"/>
        <w:rPr>
          <w:b/>
        </w:rPr>
      </w:pPr>
      <w:r>
        <w:rPr>
          <w:b/>
        </w:rPr>
        <w:t>1.</w:t>
        <w:tab/>
        <w:t>Introduction</w:t>
      </w:r>
    </w:p>
    <w:p>
      <w:pPr>
        <w:pStyle w:val="Normal"/>
        <w:rPr>
          <w:b/>
        </w:rPr>
      </w:pPr>
      <w:r>
        <w:rPr>
          <w:b/>
        </w:rPr>
      </w:r>
    </w:p>
    <w:p>
      <w:pPr>
        <w:pStyle w:val="Normal"/>
        <w:rPr/>
      </w:pPr>
      <w:r>
        <w:rPr>
          <w:rFonts w:eastAsia="文鼎中楷簡"/>
          <w:lang w:eastAsia="zh-TW"/>
        </w:rPr>
        <w:t>T</w:t>
      </w:r>
      <w:r>
        <w:rPr/>
        <w:t>he International Swaps and Derivatives Association, Inc. ("</w:t>
      </w:r>
      <w:r>
        <w:rPr>
          <w:b/>
        </w:rPr>
        <w:t>ISDA</w:t>
      </w:r>
      <w:r>
        <w:rPr/>
        <w:t>") respectfully submits this letter to the State Administration of Foreign Exchange ("</w:t>
      </w:r>
      <w:r>
        <w:rPr>
          <w:b/>
        </w:rPr>
        <w:t>SAFE</w:t>
      </w:r>
      <w:r>
        <w:rPr/>
        <w:t xml:space="preserve">"). </w:t>
      </w:r>
    </w:p>
    <w:p>
      <w:pPr>
        <w:pStyle w:val="Header"/>
        <w:tabs>
          <w:tab w:val="clear" w:pos="4153"/>
          <w:tab w:val="clear" w:pos="8306"/>
        </w:tabs>
        <w:rPr/>
      </w:pPr>
      <w:r>
        <w:rPr/>
      </w:r>
    </w:p>
    <w:p>
      <w:pPr>
        <w:pStyle w:val="Normal"/>
        <w:rPr/>
      </w:pPr>
      <w:r>
        <w:rPr/>
        <w:t>ISDA is an international financial trade association whose membership comprises the world's largest commercial, merchant and investment banks, corporations, government entities and other major institutions.  As at the date of this letter, ISDA has over 480 members representing a broad cross-section of the institutions that act as dealers and end-users of swaps and other privately negotiated or over-the-counter derivative transactions ("</w:t>
      </w:r>
      <w:r>
        <w:rPr>
          <w:b/>
        </w:rPr>
        <w:t>derivative transactions</w:t>
      </w:r>
      <w:r>
        <w:rPr/>
        <w:t xml:space="preserve">") from over 40 countries world-wide.  A current list of ISDA's members is attached to this letter as Annex "A".  </w:t>
      </w:r>
    </w:p>
    <w:p>
      <w:pPr>
        <w:pStyle w:val="Normal"/>
        <w:rPr/>
      </w:pPr>
      <w:r>
        <w:rPr/>
      </w:r>
    </w:p>
    <w:p>
      <w:pPr>
        <w:pStyle w:val="Normal"/>
        <w:rPr/>
      </w:pPr>
      <w:r>
        <w:rPr/>
        <w:t xml:space="preserve">As SAFE will note from Annex "A", a large number of ISDA's members have established long-standing business relationships in </w:t>
      </w:r>
      <w:r>
        <w:rPr>
          <w:rFonts w:eastAsia="文鼎中楷簡"/>
          <w:lang w:eastAsia="zh-TW"/>
        </w:rPr>
        <w:t>the People's Republic of China (</w:t>
      </w:r>
      <w:r>
        <w:rPr/>
        <w:t xml:space="preserve">the </w:t>
      </w:r>
      <w:r>
        <w:rPr>
          <w:rFonts w:eastAsia="文鼎中楷簡"/>
          <w:lang w:eastAsia="zh-TW"/>
        </w:rPr>
        <w:t>"</w:t>
      </w:r>
      <w:r>
        <w:rPr>
          <w:b/>
        </w:rPr>
        <w:t>PRC</w:t>
      </w:r>
      <w:r>
        <w:rPr>
          <w:rFonts w:eastAsia="文鼎中楷簡"/>
          <w:lang w:eastAsia="zh-TW"/>
        </w:rPr>
        <w:t>")</w:t>
      </w:r>
      <w:r>
        <w:rPr/>
        <w:t xml:space="preserve"> and have for many years entered into derivative transactions with PRC banks and non-bank financial institutions ("</w:t>
      </w:r>
      <w:r>
        <w:rPr>
          <w:b/>
        </w:rPr>
        <w:t>PRC institutions</w:t>
      </w:r>
      <w:r>
        <w:rPr/>
        <w:t xml:space="preserve">").  Indeed, a number of ISDA's members currently consider PRC as a major market for their derivatives businesses and expect the PRC market to become increasingly important in the future. </w:t>
      </w:r>
    </w:p>
    <w:p>
      <w:pPr>
        <w:pStyle w:val="Normal"/>
        <w:rPr/>
      </w:pPr>
      <w:r>
        <w:rPr/>
      </w:r>
    </w:p>
    <w:p>
      <w:pPr>
        <w:pStyle w:val="Normal"/>
        <w:rPr/>
      </w:pPr>
      <w:r>
        <w:rPr/>
        <w:t>As a result of recent events, ISDA understands that there exists serious confusion and uncertainty in the market in connection with the entering into of derivative transactions with PRC institutions. Accordingly, ISDA is writing on behalf of its members to SAFE to ask if SAFE could provide guidance in relation to entering into derivative transactions with PRC institutions.  ISDA believes that its members and the entire market at large would benefit greatly from the certainty which this guidance would provide.</w:t>
      </w:r>
    </w:p>
    <w:p>
      <w:pPr>
        <w:pStyle w:val="Normal"/>
        <w:rPr/>
      </w:pPr>
      <w:r>
        <w:rPr/>
      </w:r>
    </w:p>
    <w:p>
      <w:pPr>
        <w:pStyle w:val="Normal"/>
        <w:rPr>
          <w:b/>
        </w:rPr>
      </w:pPr>
      <w:r>
        <w:rPr>
          <w:b/>
        </w:rPr>
        <w:t>2.</w:t>
        <w:tab/>
        <w:t>Background - Transaction-Specific Approval?</w:t>
      </w:r>
    </w:p>
    <w:p>
      <w:pPr>
        <w:pStyle w:val="Normal"/>
        <w:rPr>
          <w:b/>
        </w:rPr>
      </w:pPr>
      <w:r>
        <w:rPr>
          <w:b/>
        </w:rPr>
      </w:r>
    </w:p>
    <w:p>
      <w:pPr>
        <w:pStyle w:val="Normal"/>
        <w:rPr>
          <w:lang w:val="en-US"/>
        </w:rPr>
      </w:pPr>
      <w:r>
        <w:rPr>
          <w:lang w:val="en-US"/>
        </w:rPr>
        <w:t xml:space="preserve">ISDA has been informed by its members that they are seriously concerned about recent developments in the market where </w:t>
      </w:r>
      <w:r>
        <w:rPr/>
        <w:t xml:space="preserve">the liquidation committee of an international trust and investment corporation (currently in bankruptcy proceeding) has in effect held that it would be necessary </w:t>
      </w:r>
      <w:r>
        <w:rPr>
          <w:lang w:val="en-US"/>
        </w:rPr>
        <w:t>for a PRC institution to obtain a transaction-specific approval (i.e. a case-by-case approval) from SAFE prior to such institution entering into any derivative transaction with a foreign institution.   It was also claimed that, in the event that such a transaction-specific approval were not obtained, the relevant derivative transaction would be invalid and unenforceable.  Reliance was placed by the liquidation committee on the</w:t>
      </w:r>
      <w:r>
        <w:rPr/>
        <w:t xml:space="preserve"> provisions in paragraph 2 of "the Notice Regarding The Prohibition of Derivative Transactions Conducted By Financial Institutions Outside China At their Own Discretion" (the "</w:t>
      </w:r>
      <w:r>
        <w:rPr>
          <w:b/>
        </w:rPr>
        <w:t>1995 PBOC</w:t>
      </w:r>
      <w:r>
        <w:rPr/>
        <w:t xml:space="preserve"> </w:t>
      </w:r>
      <w:r>
        <w:rPr>
          <w:b/>
        </w:rPr>
        <w:t>Notice</w:t>
      </w:r>
      <w:r>
        <w:rPr/>
        <w:t>") promulgated by PBOC on 29th March, 1995.</w:t>
      </w:r>
    </w:p>
    <w:p>
      <w:pPr>
        <w:pStyle w:val="Normal"/>
        <w:rPr>
          <w:lang w:val="en-US"/>
        </w:rPr>
      </w:pPr>
      <w:r>
        <w:rPr>
          <w:lang w:val="en-US"/>
        </w:rPr>
      </w:r>
    </w:p>
    <w:p>
      <w:pPr>
        <w:pStyle w:val="Normal"/>
        <w:tabs>
          <w:tab w:val="clear" w:pos="720"/>
          <w:tab w:val="left" w:pos="360" w:leader="none"/>
        </w:tabs>
        <w:rPr/>
      </w:pPr>
      <w:r>
        <w:rPr>
          <w:lang w:val="en-US"/>
        </w:rPr>
        <w:t>This position is fundamentally contrary to the understanding of ISDA's members and the market that the requirements of the 1995 PBOC Notice are satisfied so long as the PRC institution has a valid SAFE foreign exchange business licen</w:t>
      </w:r>
      <w:r>
        <w:rPr>
          <w:lang w:val="en-US"/>
        </w:rPr>
        <w:t>c</w:t>
      </w:r>
      <w:r>
        <w:rPr>
          <w:lang w:val="en-US"/>
        </w:rPr>
        <w:t xml:space="preserve">e with an approved scope of business sufficiently broad to cover the transaction in question, so long as the transaction has been entered into for hedging purposes.  </w:t>
      </w:r>
    </w:p>
    <w:p>
      <w:pPr>
        <w:pStyle w:val="Normal"/>
        <w:rPr>
          <w:color w:val="000000"/>
          <w:lang w:val="en-US"/>
        </w:rPr>
      </w:pPr>
      <w:r>
        <w:rPr>
          <w:color w:val="000000"/>
          <w:lang w:val="en-US"/>
        </w:rPr>
      </w:r>
    </w:p>
    <w:p>
      <w:pPr>
        <w:pStyle w:val="Normal"/>
        <w:rPr>
          <w:color w:val="000000"/>
        </w:rPr>
      </w:pPr>
      <w:r>
        <w:rPr>
          <w:color w:val="000000"/>
        </w:rPr>
        <w:t>Although the position taken by the relevant liquidation committee is not law and does not have any binding legal effect, it casts a serious doubt on the validity and enforceability of all existing derivative transactions between PRC institutions on one hand and foreign institutions on the other.  It also creates uncertainty in the market on how derivative transactions in the future could be conducted between PRC institutions and foreign institutions.</w:t>
      </w:r>
    </w:p>
    <w:p>
      <w:pPr>
        <w:pStyle w:val="Normal"/>
        <w:rPr>
          <w:color w:val="000000"/>
        </w:rPr>
      </w:pPr>
      <w:r>
        <w:rPr>
          <w:color w:val="000000"/>
        </w:rPr>
      </w:r>
    </w:p>
    <w:p>
      <w:pPr>
        <w:pStyle w:val="Normal"/>
        <w:rPr/>
      </w:pPr>
      <w:r>
        <w:rPr/>
        <w:t>In the event that a transaction-specific SAFE approval is required and that the lack of it results in the relevant derivative transaction being invalid, many existing derivative transactions between foreign institutions and PRC institutions would be invalid and unenforceable.  The result has far-reaching implications : PRC institutions that hold appropriate licen</w:t>
      </w:r>
      <w:r>
        <w:rPr>
          <w:rFonts w:eastAsia="文鼎中楷簡"/>
          <w:lang w:eastAsia="zh-TW"/>
        </w:rPr>
        <w:t>c</w:t>
      </w:r>
      <w:r>
        <w:rPr/>
        <w:t xml:space="preserve">es and have entered into derivative transactions solely for legitimate purposes, as well as their foreign counterparts, would find that they are, and have for the life of the transactions been, subject to risks which they thought had been properly hedged.  PRC institutions will also have made material misrepresentations to foreign institutions which may cause PRC institutions to be in default of the relevant agreements, which default may also trigger a cross-default of a variety of other agreements (including bonds, loans and other financial arrangements). </w:t>
      </w:r>
      <w:r>
        <w:rPr>
          <w:rFonts w:eastAsia="文鼎中楷簡"/>
          <w:lang w:eastAsia="zh-TW"/>
        </w:rPr>
        <w:t xml:space="preserve"> This may have serious implications for the liquidity and financial strength of PRC institutions and may adversely impact their ability to raise funds in the international markets.</w:t>
      </w:r>
    </w:p>
    <w:p>
      <w:pPr>
        <w:pStyle w:val="Normal"/>
        <w:rPr/>
      </w:pPr>
      <w:r>
        <w:rPr/>
      </w:r>
    </w:p>
    <w:p>
      <w:pPr>
        <w:pStyle w:val="FootnoteText"/>
        <w:jc w:val="both"/>
        <w:rPr>
          <w:sz w:val="22"/>
        </w:rPr>
      </w:pPr>
      <w:r>
        <w:rPr>
          <w:sz w:val="22"/>
        </w:rPr>
        <w:t>Because derivative transactions are extremely market and time-sensitive, there is also significant difficulty and impracticality for each derivative transaction between a PRC institution and a foreign counterparty to be subject to specific SAFE approval before it is entered into.</w:t>
      </w:r>
    </w:p>
    <w:p>
      <w:pPr>
        <w:pStyle w:val="FootnoteText"/>
        <w:jc w:val="both"/>
        <w:rPr>
          <w:sz w:val="22"/>
        </w:rPr>
      </w:pPr>
      <w:r>
        <w:rPr>
          <w:sz w:val="22"/>
        </w:rPr>
      </w:r>
    </w:p>
    <w:p>
      <w:pPr>
        <w:pStyle w:val="Normal"/>
        <w:rPr>
          <w:b/>
        </w:rPr>
      </w:pPr>
      <w:r>
        <w:rPr/>
        <w:t xml:space="preserve">ISDA has also been informed by its members that the officials at SAFE Beijing have </w:t>
      </w:r>
      <w:r>
        <w:rPr>
          <w:rFonts w:eastAsia="文鼎中楷簡"/>
          <w:lang w:eastAsia="zh-TW"/>
        </w:rPr>
        <w:t xml:space="preserve">previously </w:t>
      </w:r>
      <w:r>
        <w:rPr/>
        <w:t xml:space="preserve">confirmed on an informal and unofficial basis that there was no requirement for any transaction-specific approval under the 1995 PBOC Notice.  Besides, they have also been advised that no procedure for approving any derivative transaction on a case-by-case basis has ever been implemented by SAFE and that no criteria have ever been established for verifying any application for approval of SAFE to be granted on a case-by-case basis. </w:t>
      </w:r>
    </w:p>
    <w:p>
      <w:pPr>
        <w:pStyle w:val="Normal"/>
        <w:rPr>
          <w:b/>
        </w:rPr>
      </w:pPr>
      <w:r>
        <w:rPr>
          <w:b/>
        </w:rPr>
      </w:r>
    </w:p>
    <w:p>
      <w:pPr>
        <w:pStyle w:val="Normal"/>
        <w:rPr>
          <w:b/>
        </w:rPr>
      </w:pPr>
      <w:r>
        <w:rPr>
          <w:b/>
        </w:rPr>
        <w:t>3.</w:t>
        <w:tab/>
        <w:t>Clarifications sought</w:t>
      </w:r>
    </w:p>
    <w:p>
      <w:pPr>
        <w:pStyle w:val="Normal"/>
        <w:rPr>
          <w:b/>
        </w:rPr>
      </w:pPr>
      <w:r>
        <w:rPr>
          <w:b/>
        </w:rPr>
      </w:r>
    </w:p>
    <w:p>
      <w:pPr>
        <w:pStyle w:val="Normal"/>
        <w:tabs>
          <w:tab w:val="clear" w:pos="720"/>
          <w:tab w:val="left" w:pos="360" w:leader="none"/>
        </w:tabs>
        <w:rPr/>
      </w:pPr>
      <w:r>
        <w:rPr/>
        <w:t xml:space="preserve">ISDA believes that the lack of clarity on the requirement for transaction-specific SAFE approval would fundamentally affect the availability of such derivative transactions and severely limit the ability of PRC institutions to engage in derivative transactions for the purposes of hedging and risk management.  </w:t>
      </w:r>
    </w:p>
    <w:p>
      <w:pPr>
        <w:pStyle w:val="Normal"/>
        <w:tabs>
          <w:tab w:val="clear" w:pos="720"/>
          <w:tab w:val="left" w:pos="360" w:leader="none"/>
        </w:tabs>
        <w:rPr/>
      </w:pPr>
      <w:r>
        <w:rPr/>
      </w:r>
    </w:p>
    <w:p>
      <w:pPr>
        <w:pStyle w:val="Normal"/>
        <w:rPr/>
      </w:pPr>
      <w:r>
        <w:rPr/>
        <w:t xml:space="preserve">Accordingly, ISDA respectfully requests SAFE's guidance on whether a specific case-by-case approval from SAFE is indeed required under the 1995 PBOC Notice or whether the approval is considered as obtained if the PRC institution has a valid SAFE foreign exchange business licence with an approved scope of business sufficiently broad to cover the transaction in question which has been entered into for hedging purposes.  </w:t>
      </w:r>
    </w:p>
    <w:p>
      <w:pPr>
        <w:pStyle w:val="Normal"/>
        <w:tabs>
          <w:tab w:val="clear" w:pos="720"/>
          <w:tab w:val="left" w:pos="360" w:leader="none"/>
        </w:tabs>
        <w:rPr/>
      </w:pPr>
      <w:r>
        <w:rPr/>
      </w:r>
    </w:p>
    <w:p>
      <w:pPr>
        <w:pStyle w:val="Normal"/>
        <w:rPr>
          <w:lang w:val="en-US"/>
        </w:rPr>
      </w:pPr>
      <w:r>
        <w:rPr>
          <w:lang w:val="en-US"/>
        </w:rPr>
        <w:t xml:space="preserve">In particular, </w:t>
      </w:r>
      <w:r>
        <w:rPr/>
        <w:t>ISDA would be most grateful if a meeting could be arranged with Director General Wu Xiaoling and/or any other responsible officials at SAFE to discuss the issues raised in this letter at SAFE's earliest convenience.</w:t>
      </w:r>
    </w:p>
    <w:p>
      <w:pPr>
        <w:pStyle w:val="Normal"/>
        <w:rPr>
          <w:lang w:val="en-US"/>
        </w:rPr>
      </w:pPr>
      <w:r>
        <w:rPr>
          <w:lang w:val="en-US"/>
        </w:rPr>
      </w:r>
    </w:p>
    <w:p>
      <w:pPr>
        <w:pStyle w:val="Normal"/>
        <w:rPr>
          <w:lang w:val="en-US"/>
        </w:rPr>
      </w:pPr>
      <w:r>
        <w:rPr>
          <w:lang w:val="en-US"/>
        </w:rPr>
        <w:t>ISDA's members would be most grateful to receive SAFE's confirmation and guidance in relation to the above matters.  As well as being of great benefit to the market as a whole, SAFE's input would be essential for confirming the validity of the existing derivative transactions between PRC institutions and their foreign counterparts in addition to providing the requisite certainty for them to enter into derivative transactions in the future.</w:t>
      </w:r>
    </w:p>
    <w:p>
      <w:pPr>
        <w:pStyle w:val="Normal"/>
        <w:rPr>
          <w:lang w:val="en-US"/>
        </w:rPr>
      </w:pPr>
      <w:r>
        <w:rPr>
          <w:lang w:val="en-US"/>
        </w:rPr>
      </w:r>
    </w:p>
    <w:p>
      <w:pPr>
        <w:pStyle w:val="Normal"/>
        <w:rPr/>
      </w:pPr>
      <w:r>
        <w:rPr/>
        <w:t>If SAFE has any questions in relation to the above or requires any further information in the meantime, please do not hesitate to contact Azam Mistry on (852) 2822 3818 or Chin-Chong Liew on (852) 2974 7157.</w:t>
      </w:r>
    </w:p>
    <w:p>
      <w:pPr>
        <w:pStyle w:val="Normal"/>
        <w:rPr/>
      </w:pPr>
      <w:r>
        <w:rPr/>
      </w:r>
    </w:p>
    <w:p>
      <w:pPr>
        <w:pStyle w:val="Normal"/>
        <w:rPr/>
      </w:pPr>
      <w:r>
        <w:rPr/>
        <w:t>Yours</w:t>
      </w:r>
      <w:r>
        <w:rPr>
          <w:rFonts w:eastAsia="文鼎中楷簡"/>
          <w:lang w:eastAsia="zh-TW"/>
        </w:rPr>
        <w:t xml:space="preserve"> sincerely</w:t>
      </w:r>
      <w:r>
        <w:rPr/>
        <w:t>,</w:t>
      </w:r>
    </w:p>
    <w:p>
      <w:pPr>
        <w:pStyle w:val="Normal"/>
        <w:rPr/>
      </w:pPr>
      <w:r>
        <w:rPr/>
        <w:t xml:space="preserve">For The International Swaps </w:t>
      </w:r>
    </w:p>
    <w:p>
      <w:pPr>
        <w:pStyle w:val="Normal"/>
        <w:rPr/>
      </w:pPr>
      <w:r>
        <w:rPr/>
        <w:t>and Derivatives Association, Inc.</w:t>
      </w:r>
    </w:p>
    <w:p>
      <w:pPr>
        <w:pStyle w:val="Normal"/>
        <w:rPr/>
      </w:pPr>
      <w:r>
        <w:rPr/>
      </w:r>
    </w:p>
    <w:p>
      <w:pPr>
        <w:pStyle w:val="Normal"/>
        <w:rPr/>
      </w:pPr>
      <w:r>
        <w:rPr/>
      </w:r>
    </w:p>
    <w:p>
      <w:pPr>
        <w:pStyle w:val="Normal"/>
        <w:rPr/>
      </w:pPr>
      <w:r>
        <w:rPr/>
      </w:r>
    </w:p>
    <w:p>
      <w:pPr>
        <w:pStyle w:val="Normal"/>
        <w:rPr/>
      </w:pPr>
      <w:r>
        <w:rPr/>
      </w:r>
    </w:p>
    <w:p>
      <w:pPr>
        <w:pStyle w:val="Normal"/>
        <w:widowControl w:val="false"/>
        <w:rPr/>
      </w:pPr>
      <w:r>
        <w:rPr/>
        <w:t>Azam Mistry</w:t>
      </w:r>
    </w:p>
    <w:p>
      <w:pPr>
        <w:pStyle w:val="Normal"/>
        <w:widowControl w:val="false"/>
        <w:rPr/>
      </w:pPr>
      <w:r>
        <w:rPr/>
        <w:t>Co-Chair of the Hong Kong</w:t>
      </w:r>
    </w:p>
    <w:p>
      <w:pPr>
        <w:pStyle w:val="Normal"/>
        <w:widowControl w:val="false"/>
        <w:rPr/>
      </w:pPr>
      <w:r>
        <w:rPr/>
        <w:t>And South East Asia Steering Committee</w:t>
      </w:r>
    </w:p>
    <w:p>
      <w:pPr>
        <w:pStyle w:val="Normal"/>
        <w:widowControl w:val="false"/>
        <w:rPr/>
      </w:pPr>
      <w:r>
        <w:rPr/>
        <w:t xml:space="preserve">International Swaps and </w:t>
      </w:r>
    </w:p>
    <w:p>
      <w:pPr>
        <w:pStyle w:val="Normal"/>
        <w:rPr/>
      </w:pPr>
      <w:r>
        <w:rPr/>
        <w:t xml:space="preserve">Derivatives Association, Inc. </w:t>
      </w:r>
    </w:p>
    <w:p>
      <w:pPr>
        <w:pStyle w:val="Normal"/>
        <w:tabs>
          <w:tab w:val="clear" w:pos="720"/>
          <w:tab w:val="left" w:pos="709" w:leader="none"/>
          <w:tab w:val="left" w:pos="1276" w:leader="none"/>
        </w:tabs>
        <w:rPr/>
      </w:pPr>
      <w:r>
        <w:rPr/>
      </w:r>
    </w:p>
    <w:p>
      <w:pPr>
        <w:pStyle w:val="Normal"/>
        <w:tabs>
          <w:tab w:val="clear" w:pos="720"/>
          <w:tab w:val="left" w:pos="709" w:leader="none"/>
          <w:tab w:val="left" w:pos="1276" w:leader="none"/>
        </w:tabs>
        <w:rPr/>
      </w:pPr>
      <w:r>
        <w:rPr/>
      </w:r>
    </w:p>
    <w:p>
      <w:pPr>
        <w:pStyle w:val="Normal"/>
        <w:tabs>
          <w:tab w:val="clear" w:pos="720"/>
          <w:tab w:val="left" w:pos="709" w:leader="none"/>
          <w:tab w:val="left" w:pos="1276" w:leader="none"/>
        </w:tabs>
        <w:rPr/>
      </w:pPr>
      <w:r>
        <w:rPr>
          <w:rFonts w:eastAsia="文鼎中楷簡"/>
          <w:lang w:eastAsia="zh-TW"/>
        </w:rPr>
        <w:t>(</w:t>
      </w:r>
      <w:r>
        <w:rPr/>
        <w:t>Chinese translation attached</w:t>
      </w:r>
      <w:r>
        <w:rPr>
          <w:rFonts w:eastAsia="文鼎中楷簡"/>
          <w:lang w:eastAsia="zh-TW"/>
        </w:rPr>
        <w:t>)</w:t>
      </w:r>
    </w:p>
    <w:p>
      <w:pPr>
        <w:pStyle w:val="Normal"/>
        <w:rPr>
          <w:rFonts w:eastAsia="文鼎中楷簡"/>
          <w:lang w:eastAsia="zh-TW"/>
        </w:rPr>
      </w:pPr>
      <w:r>
        <w:rPr>
          <w:rFonts w:eastAsia="文鼎中楷簡"/>
          <w:lang w:eastAsia="zh-TW"/>
        </w:rPr>
      </w:r>
    </w:p>
    <w:p>
      <w:pPr>
        <w:pStyle w:val="Normal"/>
        <w:rPr/>
      </w:pPr>
      <w:r>
        <w:rPr/>
      </w:r>
    </w:p>
    <w:p>
      <w:pPr>
        <w:pStyle w:val="Normal"/>
        <w:rPr/>
      </w:pPr>
      <w:r>
        <w:rPr/>
      </w:r>
    </w:p>
    <w:p>
      <w:pPr>
        <w:pStyle w:val="Normal"/>
        <w:rPr>
          <w:rFonts w:eastAsia="文鼎中楷簡"/>
          <w:caps/>
          <w:sz w:val="16"/>
          <w:lang w:eastAsia="zh-TW"/>
        </w:rPr>
      </w:pPr>
      <w:r>
        <w:rPr>
          <w:rFonts w:eastAsia="文鼎中楷簡"/>
          <w:caps/>
          <w:sz w:val="16"/>
          <w:lang w:eastAsia="zh-TW"/>
        </w:rPr>
        <w:t>HK:80479.5</w:t>
      </w:r>
    </w:p>
    <w:sectPr>
      <w:headerReference w:type="default" r:id="rId2"/>
      <w:headerReference w:type="first" r:id="rId3"/>
      <w:footerReference w:type="default" r:id="rId4"/>
      <w:footerReference w:type="first" r:id="rId5"/>
      <w:type w:val="nextPage"/>
      <w:pgSz w:w="11906" w:h="16838"/>
      <w:pgMar w:left="1440" w:right="1440" w:gutter="0" w:header="720" w:top="1797" w:footer="96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931" w:leader="none"/>
      </w:tabs>
      <w:jc w:val="end"/>
      <w:rPr>
        <w:sz w:val="16"/>
      </w:rPr>
    </w:pPr>
    <w:r>
      <w:rPr>
        <w:sz w:val="16"/>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048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931" w:leader="none"/>
      </w:tabs>
      <w:jc w:val="end"/>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42" w:type="dxa"/>
      <w:jc w:val="start"/>
      <w:tblInd w:w="0" w:type="dxa"/>
      <w:tblLayout w:type="fixed"/>
      <w:tblCellMar>
        <w:top w:w="0" w:type="dxa"/>
        <w:start w:w="108" w:type="dxa"/>
        <w:bottom w:w="0" w:type="dxa"/>
        <w:end w:w="108" w:type="dxa"/>
      </w:tblCellMar>
    </w:tblPr>
    <w:tblGrid>
      <w:gridCol w:w="4928"/>
      <w:gridCol w:w="4314"/>
    </w:tblGrid>
    <w:tr>
      <w:trPr/>
      <w:tc>
        <w:tcPr>
          <w:tcW w:w="4928" w:type="dxa"/>
          <w:tcBorders/>
        </w:tcPr>
        <w:p>
          <w:pPr>
            <w:pStyle w:val="Header"/>
            <w:rPr>
              <w:b/>
              <w:sz w:val="96"/>
              <w:lang w:val="en-US"/>
            </w:rPr>
          </w:pPr>
          <w:r>
            <w:rPr>
              <w:b/>
              <w:sz w:val="96"/>
              <w:lang w:val="en-US"/>
            </w:rPr>
            <w:t>ISDA</w:t>
          </w:r>
        </w:p>
        <w:p>
          <w:pPr>
            <w:pStyle w:val="Header"/>
            <w:rPr>
              <w:b/>
              <w:sz w:val="20"/>
              <w:lang w:val="en-US"/>
            </w:rPr>
          </w:pPr>
          <w:r>
            <w:rPr>
              <w:b/>
              <w:sz w:val="20"/>
              <w:lang w:val="en-US"/>
            </w:rPr>
            <w:t>International Swaps and Derivatives Association, Inc.</w:t>
          </w:r>
        </w:p>
      </w:tc>
      <w:tc>
        <w:tcPr>
          <w:tcW w:w="4314" w:type="dxa"/>
          <w:tcBorders/>
        </w:tcPr>
        <w:p>
          <w:pPr>
            <w:pStyle w:val="Header"/>
            <w:tabs>
              <w:tab w:val="left" w:pos="1593" w:leader="none"/>
              <w:tab w:val="center" w:pos="4153" w:leader="none"/>
              <w:tab w:val="right" w:pos="8306" w:leader="none"/>
            </w:tabs>
            <w:rPr>
              <w:sz w:val="18"/>
              <w:lang w:val="en-US"/>
            </w:rPr>
          </w:pPr>
          <w:r>
            <w:rPr>
              <w:sz w:val="18"/>
              <w:lang w:val="en-US"/>
            </w:rPr>
            <w:tab/>
            <w:t>c/o Allen &amp; Overy</w:t>
          </w:r>
        </w:p>
        <w:p>
          <w:pPr>
            <w:pStyle w:val="Header"/>
            <w:tabs>
              <w:tab w:val="left" w:pos="1593" w:leader="none"/>
              <w:tab w:val="center" w:pos="4153" w:leader="none"/>
              <w:tab w:val="right" w:pos="8306" w:leader="none"/>
            </w:tabs>
            <w:rPr>
              <w:sz w:val="18"/>
              <w:lang w:val="en-US"/>
            </w:rPr>
          </w:pPr>
          <w:r>
            <w:rPr>
              <w:sz w:val="18"/>
              <w:lang w:val="en-US"/>
            </w:rPr>
            <w:tab/>
            <w:t>9th Floor, Three Exchange Square</w:t>
          </w:r>
        </w:p>
        <w:p>
          <w:pPr>
            <w:pStyle w:val="Header"/>
            <w:tabs>
              <w:tab w:val="left" w:pos="1593" w:leader="none"/>
              <w:tab w:val="center" w:pos="4153" w:leader="none"/>
              <w:tab w:val="right" w:pos="8306" w:leader="none"/>
            </w:tabs>
            <w:rPr>
              <w:sz w:val="18"/>
              <w:lang w:val="en-US"/>
            </w:rPr>
          </w:pPr>
          <w:r>
            <w:rPr>
              <w:sz w:val="18"/>
              <w:lang w:val="en-US"/>
            </w:rPr>
            <w:tab/>
            <w:t>Central</w:t>
          </w:r>
        </w:p>
        <w:p>
          <w:pPr>
            <w:pStyle w:val="Header"/>
            <w:tabs>
              <w:tab w:val="left" w:pos="1593" w:leader="none"/>
              <w:tab w:val="center" w:pos="4153" w:leader="none"/>
              <w:tab w:val="right" w:pos="8306" w:leader="none"/>
            </w:tabs>
            <w:rPr>
              <w:sz w:val="18"/>
              <w:lang w:val="en-US"/>
            </w:rPr>
          </w:pPr>
          <w:r>
            <w:rPr>
              <w:sz w:val="18"/>
              <w:lang w:val="en-US"/>
            </w:rPr>
            <w:tab/>
            <w:t>Hong Kong</w:t>
          </w:r>
        </w:p>
        <w:p>
          <w:pPr>
            <w:pStyle w:val="Header"/>
            <w:tabs>
              <w:tab w:val="left" w:pos="1593" w:leader="none"/>
              <w:tab w:val="center" w:pos="4153" w:leader="none"/>
              <w:tab w:val="right" w:pos="8306" w:leader="none"/>
            </w:tabs>
            <w:rPr>
              <w:sz w:val="18"/>
              <w:lang w:val="en-US"/>
            </w:rPr>
          </w:pPr>
          <w:r>
            <w:rPr>
              <w:sz w:val="18"/>
              <w:lang w:val="en-US"/>
            </w:rPr>
            <w:tab/>
            <w:t>Telephone: (852) 2974 7000</w:t>
          </w:r>
        </w:p>
        <w:p>
          <w:pPr>
            <w:pStyle w:val="Header"/>
            <w:tabs>
              <w:tab w:val="left" w:pos="1593" w:leader="none"/>
              <w:tab w:val="center" w:pos="4153" w:leader="none"/>
              <w:tab w:val="right" w:pos="8306" w:leader="none"/>
            </w:tabs>
            <w:rPr>
              <w:b/>
              <w:sz w:val="18"/>
              <w:lang w:val="en-US"/>
            </w:rPr>
          </w:pPr>
          <w:r>
            <w:rPr>
              <w:sz w:val="18"/>
              <w:lang w:val="en-US"/>
            </w:rPr>
            <w:tab/>
            <w:t>Facsimile: (852) 2974 6999</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none"/>
      <w:suff w:val="nothing"/>
      <w:lvlText w:val=""/>
      <w:lvlJc w:val="start"/>
      <w:pPr>
        <w:tabs>
          <w:tab w:val="num" w:pos="0"/>
        </w:tabs>
        <w:ind w:start="0" w:hanging="0"/>
      </w:p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1"/>
      <w:pStyle w:val="Heading5"/>
      <w:numFmt w:val="decimal"/>
      <w:lvlText w:val="%5."/>
      <w:lvlJc w:val="start"/>
      <w:pPr>
        <w:tabs>
          <w:tab w:val="num" w:pos="720"/>
        </w:tabs>
        <w:ind w:start="2880" w:hanging="72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docVars>
    <w:docVar w:name="ACTIVE" w:val="nk401.DOC"/>
    <w:docVar w:name="DocRef" w:val="HK:80479.1"/>
    <w:docVar w:name="VTCASE"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Normal"/>
    <w:qFormat/>
    <w:pPr>
      <w:keepNext w:val="true"/>
      <w:spacing w:before="0" w:after="240"/>
      <w:outlineLvl w:val="0"/>
    </w:pPr>
    <w:rPr>
      <w:b/>
      <w:caps/>
      <w:kern w:val="2"/>
    </w:rPr>
  </w:style>
  <w:style w:type="paragraph" w:styleId="Heading2">
    <w:name w:val="heading 2"/>
    <w:basedOn w:val="Normal"/>
    <w:next w:val="Normal"/>
    <w:qFormat/>
    <w:pPr>
      <w:keepNext w:val="true"/>
      <w:spacing w:before="0" w:after="240"/>
      <w:outlineLvl w:val="1"/>
    </w:pPr>
    <w:rPr>
      <w:b/>
    </w:rPr>
  </w:style>
  <w:style w:type="paragraph" w:styleId="Heading3">
    <w:name w:val="heading 3"/>
    <w:basedOn w:val="Normal"/>
    <w:next w:val="Normal"/>
    <w:qFormat/>
    <w:pPr>
      <w:widowControl w:val="false"/>
      <w:spacing w:before="0" w:after="240"/>
      <w:outlineLvl w:val="2"/>
    </w:pPr>
    <w:rPr/>
  </w:style>
  <w:style w:type="paragraph" w:styleId="Heading4">
    <w:name w:val="heading 4"/>
    <w:basedOn w:val="Normal"/>
    <w:next w:val="Normal"/>
    <w:qFormat/>
    <w:pPr>
      <w:widowControl w:val="false"/>
      <w:spacing w:before="0" w:after="240"/>
      <w:outlineLvl w:val="3"/>
    </w:pPr>
    <w:rPr/>
  </w:style>
  <w:style w:type="paragraph" w:styleId="Heading5">
    <w:name w:val="heading 5"/>
    <w:basedOn w:val="Normal"/>
    <w:next w:val="Normal"/>
    <w:qFormat/>
    <w:pPr>
      <w:numPr>
        <w:ilvl w:val="4"/>
        <w:numId w:val="1"/>
      </w:numPr>
      <w:tabs>
        <w:tab w:val="clear" w:pos="720"/>
        <w:tab w:val="left" w:pos="2880" w:leader="none"/>
      </w:tabs>
      <w:spacing w:before="0" w:after="240"/>
      <w:outlineLvl w:val="4"/>
    </w:pPr>
    <w:rPr/>
  </w:style>
  <w:style w:type="paragraph" w:styleId="Heading6">
    <w:name w:val="heading 6"/>
    <w:basedOn w:val="Normal"/>
    <w:next w:val="Normal"/>
    <w:qFormat/>
    <w:pPr>
      <w:spacing w:before="240" w:after="60"/>
      <w:outlineLvl w:val="5"/>
    </w:pPr>
    <w:rPr/>
  </w:style>
  <w:style w:type="paragraph" w:styleId="Heading7">
    <w:name w:val="heading 7"/>
    <w:basedOn w:val="Normal"/>
    <w:next w:val="Normal"/>
    <w:qFormat/>
    <w:pPr>
      <w:spacing w:before="240" w:after="60"/>
      <w:outlineLvl w:val="6"/>
    </w:pPr>
    <w:rPr/>
  </w:style>
  <w:style w:type="paragraph" w:styleId="Heading8">
    <w:name w:val="heading 8"/>
    <w:basedOn w:val="Normal"/>
    <w:next w:val="Normal"/>
    <w:qFormat/>
    <w:pPr>
      <w:spacing w:before="240" w:after="60"/>
      <w:outlineLvl w:val="7"/>
    </w:pPr>
    <w:rPr/>
  </w:style>
  <w:style w:type="paragraph" w:styleId="Heading9">
    <w:name w:val="heading 9"/>
    <w:basedOn w:val="Normal"/>
    <w:next w:val="Normal"/>
    <w:qFormat/>
    <w:pPr>
      <w:spacing w:before="240" w:after="60"/>
      <w:outlineLvl w:val="8"/>
    </w:pPr>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Index1">
    <w:name w:val="index 1"/>
    <w:basedOn w:val="Normal"/>
    <w:next w:val="Normal"/>
    <w:pPr>
      <w:tabs>
        <w:tab w:val="clear" w:pos="720"/>
        <w:tab w:val="decimal" w:pos="9000" w:leader="dot"/>
      </w:tabs>
    </w:pPr>
    <w:rPr/>
  </w:style>
  <w:style w:type="paragraph" w:styleId="TOC1">
    <w:name w:val="toc 1"/>
    <w:basedOn w:val="Normal"/>
    <w:next w:val="Normal"/>
    <w:pPr>
      <w:tabs>
        <w:tab w:val="clear" w:pos="720"/>
        <w:tab w:val="decimal" w:pos="9000" w:leader="dot"/>
      </w:tabs>
      <w:ind w:hanging="720" w:start="720" w:end="0"/>
    </w:pPr>
    <w:rPr/>
  </w:style>
  <w:style w:type="paragraph" w:styleId="FootnoteText">
    <w:name w:val="footnote text"/>
    <w:basedOn w:val="Normal"/>
    <w:pPr>
      <w:jc w:val="star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plain</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2000-08-10T19:40:00Z</dcterms:created>
  <dc:creator>Liew Chin-Chong</dc:creator>
  <dc:description/>
  <cp:keywords>Legal</cp:keywords>
  <dc:language>en-CA</dc:language>
  <cp:lastModifiedBy>Corrinne Greasley</cp:lastModifiedBy>
  <cp:lastPrinted>2000-08-10T14:46:00Z</cp:lastPrinted>
  <dcterms:modified xsi:type="dcterms:W3CDTF">2000-08-10T19:40:00Z</dcterms:modified>
  <cp:revision>2</cp:revision>
  <dc:subject/>
  <dc:title>Swapletter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number">
    <vt:lpwstr>30047</vt:lpwstr>
  </property>
  <property fmtid="{D5CDD505-2E9C-101B-9397-08002B2CF9AE}" pid="3" name="Dept">
    <vt:lpwstr>ICM</vt:lpwstr>
  </property>
  <property fmtid="{D5CDD505-2E9C-101B-9397-08002B2CF9AE}" pid="4" name="Language">
    <vt:lpwstr>English</vt:lpwstr>
  </property>
  <property fmtid="{D5CDD505-2E9C-101B-9397-08002B2CF9AE}" pid="5" name="LegalDocType">
    <vt:lpwstr>doc</vt:lpwstr>
  </property>
  <property fmtid="{D5CDD505-2E9C-101B-9397-08002B2CF9AE}" pid="6" name="MatterNumber">
    <vt:lpwstr>00271</vt:lpwstr>
  </property>
  <property fmtid="{D5CDD505-2E9C-101B-9397-08002B2CF9AE}" pid="7" name="Partner">
    <vt:lpwstr>CAMH</vt:lpwstr>
  </property>
  <property fmtid="{D5CDD505-2E9C-101B-9397-08002B2CF9AE}" pid="8" name="Path">
    <vt:lpwstr>k:\30xxx\30047\00271\swapletter.doc</vt:lpwstr>
  </property>
  <property fmtid="{D5CDD505-2E9C-101B-9397-08002B2CF9AE}" pid="9" name="UserID">
    <vt:lpwstr>LIEWC</vt:lpwstr>
  </property>
</Properties>
</file>