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u w:val="single"/>
        </w:rPr>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Attn:</w:t>
      </w:r>
      <w:r>
        <w:rPr>
          <w:u w:val="single"/>
        </w:rPr>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 xml:space="preserve">(713) </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ab/>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0" w:type="dxa"/>
            <w:vMerge w:val="continue"/>
            <w:tcBorders>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ind w:hanging="345" w:start="345" w:end="0"/>
              <w:rPr>
                <w:b/>
                <w:sz w:val="18"/>
              </w:rPr>
            </w:pPr>
            <w:r>
              <w:rPr>
                <w:b/>
                <w:sz w:val="18"/>
              </w:rPr>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t>____________________</w:t>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u w:val="single"/>
        </w:rPr>
        <w:tab/>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rPr>
        <w:t>i</w:t>
      </w:r>
      <w:r>
        <w:rPr>
          <w:spacing w:val="-4"/>
        </w:rPr>
        <w:t>) a Transaction Confirmation, (</w:t>
      </w:r>
      <w:r>
        <w:rPr>
          <w:spacing w:val="-4"/>
          <w:lang w:val="en-CA"/>
        </w:rPr>
        <w:t>ii</w:t>
      </w:r>
      <w:r>
        <w:rPr>
          <w:spacing w:val="-4"/>
        </w:rPr>
        <w:t>) the Base Contract, and (</w:t>
      </w:r>
      <w:r>
        <w:rPr>
          <w:spacing w:val="-4"/>
          <w:lang w:val="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rPr>
        <w:t>i</w:t>
      </w:r>
      <w:r>
        <w:rPr>
          <w:spacing w:val="-6"/>
        </w:rPr>
        <w:t>) the Base Contract and (</w:t>
      </w:r>
      <w:r>
        <w:rPr>
          <w:spacing w:val="-6"/>
          <w:lang w:val="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rPr>
        <w:t>i</w:t>
      </w:r>
      <w:r>
        <w:rPr>
          <w:spacing w:val="-6"/>
        </w:rPr>
        <w:t>) the price (determined as stated above) for the first Day for which a price or range of prices is published that next precedes the relevant Day; and (</w:t>
      </w:r>
      <w:r>
        <w:rPr>
          <w:spacing w:val="-6"/>
          <w:lang w:val="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rPr>
        <w:t>i</w:t>
      </w:r>
      <w:r>
        <w:rPr>
          <w:spacing w:val="-6"/>
        </w:rPr>
        <w:t>) the then-effective prime rate of interest published under "Money Rates" by The Wall Street Journal, plus two percent per annum from the date due until the date of payment; or (</w:t>
      </w:r>
      <w:r>
        <w:rPr>
          <w:spacing w:val="-6"/>
          <w:lang w:val="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rPr>
        <w:t>i</w:t>
      </w:r>
      <w:r>
        <w:rPr>
          <w:spacing w:val="-3"/>
        </w:rPr>
        <w:t>) make an assignment or any general arrangement for the benefit of creditors; (</w:t>
      </w:r>
      <w:r>
        <w:rPr>
          <w:spacing w:val="-3"/>
          <w:lang w:val="en-CA"/>
        </w:rPr>
        <w:t>ii</w:t>
      </w:r>
      <w:r>
        <w:rPr>
          <w:spacing w:val="-3"/>
        </w:rPr>
        <w:t>) default in the payment obligation to the other party; (</w:t>
      </w:r>
      <w:r>
        <w:rPr>
          <w:spacing w:val="-3"/>
          <w:lang w:val="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rPr>
        <w:t>iv</w:t>
      </w:r>
      <w:r>
        <w:rPr>
          <w:spacing w:val="-3"/>
        </w:rPr>
        <w:t>) otherwise become bankrupt or insolvent (however evidenced); or (</w:t>
      </w:r>
      <w:r>
        <w:rPr>
          <w:spacing w:val="-3"/>
          <w:lang w:val="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rPr>
        <w:t>ii</w:t>
      </w:r>
      <w:r>
        <w:rPr>
          <w:spacing w:val="-3"/>
        </w:rPr>
        <w:t>) weather related events affecting an entire geographic region, such as low temperatures which cause freezing or failure of wells or lines of pipe; (</w:t>
      </w:r>
      <w:r>
        <w:rPr>
          <w:spacing w:val="-3"/>
          <w:lang w:val="en-CA"/>
        </w:rPr>
        <w:t>iii</w:t>
      </w:r>
      <w:r>
        <w:rPr>
          <w:spacing w:val="-3"/>
        </w:rPr>
        <w:t>) interruption of firm transportation and/or storage by Transporters; (</w:t>
      </w:r>
      <w:r>
        <w:rPr>
          <w:spacing w:val="-3"/>
          <w:lang w:val="en-CA"/>
        </w:rPr>
        <w:t>iv</w:t>
      </w:r>
      <w:r>
        <w:rPr>
          <w:spacing w:val="-3"/>
        </w:rPr>
        <w:t>) acts of others such as strikes, lockouts or other industrial disturbances, riots, sabotage, insurrections or wars; and (</w:t>
      </w:r>
      <w:r>
        <w:rPr>
          <w:spacing w:val="-3"/>
          <w:lang w:val="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rPr>
        <w:t>i</w:t>
      </w:r>
      <w:r>
        <w:rPr>
          <w:spacing w:val="-3"/>
        </w:rPr>
        <w:t>) the curtailment of interruptible or secondary firm transportation unless primary, in-path, firm transportation is also curtailed; (</w:t>
      </w:r>
      <w:r>
        <w:rPr>
          <w:spacing w:val="-3"/>
          <w:lang w:val="en-CA"/>
        </w:rPr>
        <w:t>ii</w:t>
      </w:r>
      <w:r>
        <w:rPr>
          <w:spacing w:val="-3"/>
        </w:rPr>
        <w:t>) the party claiming excuse failed to remedy the condition and to resume the performance of such covenants or obligations with reasonable dispatch; or (</w:t>
      </w:r>
      <w:r>
        <w:rPr>
          <w:spacing w:val="-3"/>
          <w:lang w:val="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42">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c>
          <w:tcPr>
            <w:tcW w:w="0" w:type="dxa"/>
            <w:vMerge w:val="continue"/>
            <w:tcBorders>
              <w:top w:val="doub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 w:val="left" w:pos="10800" w:leader="none"/>
              </w:tabs>
              <w:snapToGrid w:val="false"/>
              <w:spacing w:before="0" w:after="58"/>
              <w:rPr/>
            </w:pPr>
            <w:r>
              <w:rPr/>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right" w:pos="1071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ind w:firstLine="4050" w:end="0"/>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rPr>
    </w:pPr>
    <w:r>
      <w:rPr>
        <w:rFonts w:cs="CG Times" w:ascii="CG Times" w:hAnsi="CG Times"/>
      </w:rPr>
    </w:r>
  </w:p>
  <w:p>
    <w:pPr>
      <w:pStyle w:val="Normal"/>
      <w:widowControl w:val="false"/>
      <w:spacing w:lineRule="exact" w:line="19"/>
      <w:ind w:start="720" w:end="720"/>
      <w:jc w:val="both"/>
      <w:rPr>
        <w:rFonts w:ascii="CG Times" w:hAnsi="CG Times" w:cs="CG Times"/>
        <w:lang w:val="en-CA"/>
      </w:rPr>
    </w:pPr>
    <w:r>
      <w:rPr>
        <w:rFonts w:cs="CG Times" w:ascii="CG Times" w:hAnsi="CG Times"/>
        <w:lang w:val="en-CA"/>
      </w:rPr>
      <mc:AlternateContent>
        <mc:Choice Requires="wps">
          <w:drawing>
            <wp:anchor behindDoc="1" distT="0" distB="0" distL="114935" distR="114935" simplePos="0" locked="0" layoutInCell="0" allowOverlap="1" relativeHeight="27">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4">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rPr>
                          </w:pPr>
                          <w:r>
                            <w:rPr>
                              <w:lang w:val="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91473661"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rPr>
                    </w:pPr>
                    <w:r>
                      <w:rPr>
                        <w:lang w:val="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524555332"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2000-04-13T13:41:00Z</dcterms:created>
  <dc:creator>dperlin</dc:creator>
  <dc:description/>
  <dc:language>en-CA</dc:language>
  <cp:lastModifiedBy>dperlin</cp:lastModifiedBy>
  <dcterms:modified xsi:type="dcterms:W3CDTF">2000-04-13T13:47:00Z</dcterms:modified>
  <cp:revision>1</cp:revision>
  <dc:subject/>
  <dc:title>BASE CONTRACT FOR SHORT-TERM</dc:title>
</cp:coreProperties>
</file>