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end="504"/>
        <w:jc w:val="end"/>
        <w:rPr/>
      </w:pPr>
      <w:r>
        <w:rPr/>
        <w:t>Exhibit No. ____________</w:t>
      </w:r>
    </w:p>
    <w:p>
      <w:pPr>
        <w:pStyle w:val="Normal"/>
        <w:spacing w:lineRule="auto" w:line="240"/>
        <w:ind w:end="504"/>
        <w:jc w:val="center"/>
        <w:rPr/>
      </w:pPr>
      <w:r>
        <w:rPr/>
      </w:r>
    </w:p>
    <w:p>
      <w:pPr>
        <w:pStyle w:val="Normal"/>
        <w:spacing w:lineRule="auto" w:line="240"/>
        <w:ind w:end="504"/>
        <w:jc w:val="center"/>
        <w:rPr/>
      </w:pPr>
      <w:r>
        <w:rPr/>
      </w:r>
    </w:p>
    <w:p>
      <w:pPr>
        <w:pStyle w:val="Normal"/>
        <w:spacing w:lineRule="auto" w:line="240"/>
        <w:ind w:end="504"/>
        <w:jc w:val="center"/>
        <w:rPr/>
      </w:pPr>
      <w:r>
        <w:rPr/>
      </w:r>
    </w:p>
    <w:p>
      <w:pPr>
        <w:pStyle w:val="Normal"/>
        <w:spacing w:lineRule="auto" w:line="240"/>
        <w:ind w:end="504"/>
        <w:jc w:val="center"/>
        <w:rPr/>
      </w:pPr>
      <w:r>
        <w:rPr/>
      </w:r>
    </w:p>
    <w:p>
      <w:pPr>
        <w:pStyle w:val="Normal"/>
        <w:spacing w:lineRule="auto" w:line="240"/>
        <w:ind w:end="504"/>
        <w:jc w:val="center"/>
        <w:rPr/>
      </w:pPr>
      <w:r>
        <w:rPr/>
        <w:t>BEFORE THE</w:t>
      </w:r>
    </w:p>
    <w:p>
      <w:pPr>
        <w:pStyle w:val="Normal"/>
        <w:spacing w:lineRule="auto" w:line="240"/>
        <w:ind w:end="504"/>
        <w:jc w:val="center"/>
        <w:rPr/>
      </w:pPr>
      <w:r>
        <w:rPr/>
        <w:t>PUBLIC UTILITIES COMMISSION</w:t>
      </w:r>
    </w:p>
    <w:p>
      <w:pPr>
        <w:pStyle w:val="Normal"/>
        <w:spacing w:lineRule="auto" w:line="240"/>
        <w:ind w:end="504"/>
        <w:jc w:val="center"/>
        <w:rPr/>
      </w:pPr>
      <w:r>
        <w:rPr/>
        <w:t>OF THE</w:t>
      </w:r>
    </w:p>
    <w:p>
      <w:pPr>
        <w:pStyle w:val="Normal"/>
        <w:spacing w:lineRule="auto" w:line="240"/>
        <w:ind w:end="504"/>
        <w:jc w:val="center"/>
        <w:rPr/>
      </w:pPr>
      <w:r>
        <w:rPr/>
        <w:t>STATE OF CALIFORNIA</w:t>
      </w:r>
    </w:p>
    <w:p>
      <w:pPr>
        <w:pStyle w:val="Normal"/>
        <w:spacing w:lineRule="auto" w:line="240"/>
        <w:ind w:end="504"/>
        <w:jc w:val="center"/>
        <w:rPr/>
      </w:pPr>
      <w:r>
        <w:rPr/>
      </w:r>
    </w:p>
    <w:p>
      <w:pPr>
        <w:pStyle w:val="Normal"/>
        <w:spacing w:lineRule="auto" w:line="240"/>
        <w:ind w:end="504"/>
        <w:jc w:val="center"/>
        <w:rPr/>
      </w:pPr>
      <w:r>
        <w:rPr/>
      </w:r>
    </w:p>
    <w:p>
      <w:pPr>
        <w:pStyle w:val="Normal"/>
        <w:spacing w:lineRule="auto" w:line="240"/>
        <w:ind w:end="504"/>
        <w:jc w:val="center"/>
        <w:rPr/>
      </w:pPr>
      <w:r>
        <w:rPr/>
      </w:r>
    </w:p>
    <w:p>
      <w:pPr>
        <w:pStyle w:val="Normal"/>
        <w:spacing w:lineRule="auto" w:line="240"/>
        <w:ind w:end="504"/>
        <w:rPr/>
      </w:pPr>
      <w:r>
        <w:rPr/>
        <w:t>Investigation on the Commission’s Own</w:t>
        <w:tab/>
        <w:tab/>
        <w:t>)</w:t>
      </w:r>
    </w:p>
    <w:p>
      <w:pPr>
        <w:pStyle w:val="Normal"/>
        <w:spacing w:lineRule="auto" w:line="240"/>
        <w:ind w:end="504"/>
        <w:rPr/>
      </w:pPr>
      <w:r>
        <w:rPr/>
        <w:t xml:space="preserve">Motion To Consider the Costs and </w:t>
        <w:tab/>
        <w:tab/>
        <w:tab/>
        <w:t>)</w:t>
      </w:r>
    </w:p>
    <w:p>
      <w:pPr>
        <w:pStyle w:val="Normal"/>
        <w:spacing w:lineRule="auto" w:line="240"/>
        <w:ind w:end="504"/>
        <w:rPr/>
      </w:pPr>
      <w:r>
        <w:rPr/>
        <w:t>Benefits of Various Promising Revisions</w:t>
        <w:tab/>
        <w:tab/>
        <w:t>)</w:t>
      </w:r>
    </w:p>
    <w:p>
      <w:pPr>
        <w:pStyle w:val="Normal"/>
        <w:spacing w:lineRule="auto" w:line="240"/>
        <w:ind w:end="504"/>
        <w:rPr/>
      </w:pPr>
      <w:r>
        <w:rPr/>
        <w:t>to the Regulatory and Market Structure</w:t>
        <w:tab/>
        <w:tab/>
        <w:t>)  I.99-07-003</w:t>
      </w:r>
    </w:p>
    <w:p>
      <w:pPr>
        <w:pStyle w:val="Normal"/>
        <w:spacing w:lineRule="auto" w:line="240"/>
        <w:ind w:end="504"/>
        <w:rPr/>
      </w:pPr>
      <w:r>
        <w:rPr/>
        <w:t>Governing California’s Natural Gas Industry</w:t>
        <w:tab/>
        <w:t>)</w:t>
      </w:r>
    </w:p>
    <w:p>
      <w:pPr>
        <w:pStyle w:val="Normal"/>
        <w:spacing w:lineRule="auto" w:line="240"/>
        <w:ind w:end="504"/>
        <w:rPr/>
      </w:pPr>
      <w:r>
        <w:rPr/>
        <w:t>and to Report to the California Legislature</w:t>
        <w:tab/>
        <w:t>)</w:t>
      </w:r>
    </w:p>
    <w:p>
      <w:pPr>
        <w:pStyle w:val="Normal"/>
        <w:spacing w:lineRule="auto" w:line="240"/>
        <w:ind w:end="504"/>
        <w:rPr/>
      </w:pPr>
      <w:r>
        <w:rPr/>
        <w:t>On the Commission’s Findings</w:t>
        <w:tab/>
        <w:tab/>
        <w:tab/>
        <w:tab/>
        <w:t>)</w:t>
      </w:r>
    </w:p>
    <w:p>
      <w:pPr>
        <w:pStyle w:val="Normal"/>
        <w:spacing w:lineRule="auto" w:line="240"/>
        <w:ind w:end="504"/>
        <w:rPr/>
      </w:pPr>
      <w:r>
        <w:rPr/>
        <w:t>_____________________________________________)</w:t>
      </w:r>
    </w:p>
    <w:p>
      <w:pPr>
        <w:pStyle w:val="Normal"/>
        <w:ind w:end="504"/>
        <w:jc w:val="center"/>
        <w:rPr/>
      </w:pPr>
      <w:r>
        <w:rPr/>
      </w:r>
    </w:p>
    <w:p>
      <w:pPr>
        <w:pStyle w:val="Normal"/>
        <w:ind w:end="504"/>
        <w:jc w:val="center"/>
        <w:rPr/>
      </w:pPr>
      <w:r>
        <w:rPr/>
      </w:r>
    </w:p>
    <w:p>
      <w:pPr>
        <w:pStyle w:val="Normal"/>
        <w:spacing w:lineRule="auto" w:line="240"/>
        <w:ind w:end="504"/>
        <w:jc w:val="center"/>
        <w:rPr>
          <w:b/>
          <w:caps/>
        </w:rPr>
      </w:pPr>
      <w:r>
        <w:rPr>
          <w:b/>
          <w:caps/>
        </w:rPr>
      </w:r>
    </w:p>
    <w:p>
      <w:pPr>
        <w:pStyle w:val="Normal"/>
        <w:spacing w:lineRule="auto" w:line="240"/>
        <w:ind w:end="504"/>
        <w:jc w:val="center"/>
        <w:rPr>
          <w:b/>
          <w:caps/>
        </w:rPr>
      </w:pPr>
      <w:r>
        <w:rPr>
          <w:b/>
          <w:caps/>
        </w:rPr>
      </w:r>
    </w:p>
    <w:p>
      <w:pPr>
        <w:pStyle w:val="Normal"/>
        <w:spacing w:lineRule="auto" w:line="240"/>
        <w:ind w:end="504"/>
        <w:jc w:val="center"/>
        <w:rPr>
          <w:b/>
          <w:caps/>
        </w:rPr>
      </w:pPr>
      <w:r>
        <w:rPr>
          <w:b/>
          <w:caps/>
        </w:rPr>
        <w:t xml:space="preserve">Prepared Direct Testimony of LatimaR p. lorenz </w:t>
      </w:r>
    </w:p>
    <w:p>
      <w:pPr>
        <w:pStyle w:val="Normal"/>
        <w:spacing w:lineRule="auto" w:line="240"/>
        <w:ind w:end="504"/>
        <w:jc w:val="center"/>
        <w:rPr>
          <w:b/>
          <w:caps/>
        </w:rPr>
      </w:pPr>
      <w:r>
        <w:rPr>
          <w:b/>
          <w:caps/>
        </w:rPr>
        <w:t>for SOCALGAS</w:t>
      </w:r>
    </w:p>
    <w:p>
      <w:pPr>
        <w:pStyle w:val="Normal"/>
        <w:spacing w:lineRule="auto" w:line="240"/>
        <w:ind w:end="504"/>
        <w:jc w:val="center"/>
        <w:rPr>
          <w:b/>
          <w:caps/>
        </w:rPr>
      </w:pPr>
      <w:r>
        <w:rPr>
          <w:b/>
          <w:caps/>
        </w:rPr>
        <w:t xml:space="preserve">in Support of the </w:t>
      </w:r>
    </w:p>
    <w:p>
      <w:pPr>
        <w:pStyle w:val="Normal"/>
        <w:spacing w:lineRule="auto" w:line="240"/>
        <w:ind w:end="504"/>
        <w:jc w:val="center"/>
        <w:rPr>
          <w:b/>
          <w:caps/>
        </w:rPr>
      </w:pPr>
      <w:r>
        <w:rPr>
          <w:b/>
          <w:caps/>
        </w:rPr>
        <w:t>Comprehensive Settlement Agreement</w:t>
      </w:r>
    </w:p>
    <w:p>
      <w:pPr>
        <w:pStyle w:val="Normal"/>
        <w:jc w:val="both"/>
        <w:rPr>
          <w:b/>
          <w:caps/>
        </w:rPr>
      </w:pPr>
      <w:r>
        <w:rPr>
          <w:b/>
          <w:cap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FirmName"/>
        <w:spacing w:lineRule="exact" w:line="454"/>
        <w:rPr>
          <w:b/>
        </w:rPr>
      </w:pPr>
      <w:r>
        <w:rPr>
          <w:b/>
        </w:rPr>
        <w:t>May 5, 2000</w:t>
      </w:r>
    </w:p>
    <w:p>
      <w:pPr>
        <w:pStyle w:val="Normal"/>
        <w:jc w:val="both"/>
        <w:rPr>
          <w:b/>
        </w:rPr>
      </w:pPr>
      <w:r>
        <w:rPr>
          <w:b/>
        </w:rPr>
      </w:r>
    </w:p>
    <w:p>
      <w:pPr>
        <w:pStyle w:val="Normal"/>
        <w:spacing w:lineRule="auto" w:line="240"/>
        <w:jc w:val="center"/>
        <w:rPr>
          <w:rFonts w:ascii="Book Antiqua" w:hAnsi="Book Antiqua" w:cs="Book Antiqua"/>
          <w:b/>
          <w:sz w:val="24"/>
        </w:rPr>
      </w:pPr>
      <w:r>
        <w:rPr>
          <w:rFonts w:cs="Book Antiqua" w:ascii="Book Antiqua" w:hAnsi="Book Antiqua"/>
          <w:b/>
          <w:sz w:val="24"/>
        </w:rPr>
      </w:r>
    </w:p>
    <w:p>
      <w:pPr>
        <w:pStyle w:val="Normal"/>
        <w:spacing w:lineRule="auto" w:line="240"/>
        <w:jc w:val="center"/>
        <w:rPr>
          <w:rFonts w:ascii="Book Antiqua" w:hAnsi="Book Antiqua" w:cs="Book Antiqua"/>
          <w:b/>
          <w:sz w:val="24"/>
        </w:rPr>
      </w:pPr>
      <w:r>
        <w:rPr>
          <w:rFonts w:cs="Book Antiqua" w:ascii="Book Antiqua" w:hAnsi="Book Antiqua"/>
          <w:b/>
          <w:sz w:val="24"/>
        </w:rPr>
      </w:r>
    </w:p>
    <w:p>
      <w:pPr>
        <w:pStyle w:val="Normal"/>
        <w:spacing w:lineRule="auto" w:line="240"/>
        <w:jc w:val="center"/>
        <w:rPr>
          <w:rFonts w:ascii="Book Antiqua" w:hAnsi="Book Antiqua" w:cs="Book Antiqua"/>
          <w:b/>
          <w:sz w:val="24"/>
        </w:rPr>
      </w:pPr>
      <w:r>
        <w:rPr>
          <w:rFonts w:cs="Book Antiqua" w:ascii="Book Antiqua" w:hAnsi="Book Antiqua"/>
          <w:b/>
          <w:sz w:val="24"/>
        </w:rPr>
      </w:r>
    </w:p>
    <w:p>
      <w:pPr>
        <w:pStyle w:val="Normal"/>
        <w:spacing w:lineRule="auto" w:line="240"/>
        <w:jc w:val="center"/>
        <w:rPr>
          <w:rFonts w:ascii="Book Antiqua" w:hAnsi="Book Antiqua" w:cs="Book Antiqua"/>
          <w:b/>
          <w:sz w:val="24"/>
        </w:rPr>
      </w:pPr>
      <w:r>
        <w:rPr>
          <w:rFonts w:cs="Book Antiqua" w:ascii="Book Antiqua" w:hAnsi="Book Antiqua"/>
          <w:b/>
          <w:sz w:val="24"/>
        </w:rPr>
        <w:t xml:space="preserve">Prepared Direct Testimony of </w:t>
      </w:r>
    </w:p>
    <w:p>
      <w:pPr>
        <w:pStyle w:val="Normal"/>
        <w:spacing w:lineRule="auto" w:line="240"/>
        <w:jc w:val="center"/>
        <w:rPr>
          <w:rFonts w:ascii="Book Antiqua" w:hAnsi="Book Antiqua" w:cs="Book Antiqua"/>
          <w:b/>
          <w:sz w:val="24"/>
        </w:rPr>
      </w:pPr>
      <w:r>
        <w:rPr>
          <w:rFonts w:cs="Book Antiqua" w:ascii="Book Antiqua" w:hAnsi="Book Antiqua"/>
          <w:b/>
          <w:sz w:val="24"/>
        </w:rPr>
      </w:r>
    </w:p>
    <w:p>
      <w:pPr>
        <w:pStyle w:val="Normal"/>
        <w:spacing w:lineRule="auto" w:line="240"/>
        <w:jc w:val="center"/>
        <w:rPr>
          <w:rFonts w:ascii="Book Antiqua" w:hAnsi="Book Antiqua" w:cs="Book Antiqua"/>
          <w:b/>
          <w:sz w:val="24"/>
        </w:rPr>
      </w:pPr>
      <w:r>
        <w:rPr>
          <w:rFonts w:cs="Book Antiqua" w:ascii="Book Antiqua" w:hAnsi="Book Antiqua"/>
          <w:b/>
          <w:sz w:val="24"/>
        </w:rPr>
        <w:t>Latimer P. Lorenz</w:t>
      </w:r>
    </w:p>
    <w:p>
      <w:pPr>
        <w:pStyle w:val="Normal"/>
        <w:spacing w:lineRule="auto" w:line="240"/>
        <w:jc w:val="center"/>
        <w:rPr>
          <w:rFonts w:ascii="Book Antiqua" w:hAnsi="Book Antiqua" w:cs="Book Antiqua"/>
          <w:b/>
          <w:sz w:val="24"/>
        </w:rPr>
      </w:pPr>
      <w:r>
        <w:rPr>
          <w:rFonts w:cs="Book Antiqua" w:ascii="Book Antiqua" w:hAnsi="Book Antiqua"/>
          <w:b/>
          <w:sz w:val="24"/>
        </w:rPr>
      </w:r>
    </w:p>
    <w:p>
      <w:pPr>
        <w:pStyle w:val="Normal"/>
        <w:spacing w:lineRule="auto" w:line="240"/>
        <w:jc w:val="center"/>
        <w:rPr>
          <w:rFonts w:ascii="Book Antiqua" w:hAnsi="Book Antiqua" w:cs="Book Antiqua"/>
          <w:sz w:val="24"/>
        </w:rPr>
      </w:pPr>
      <w:r>
        <w:rPr>
          <w:rFonts w:cs="Book Antiqua" w:ascii="Book Antiqua" w:hAnsi="Book Antiqua"/>
          <w:sz w:val="24"/>
        </w:rPr>
      </w:r>
    </w:p>
    <w:p>
      <w:pPr>
        <w:pStyle w:val="Normal"/>
        <w:spacing w:lineRule="auto" w:line="240"/>
        <w:jc w:val="center"/>
        <w:rPr>
          <w:rFonts w:ascii="Book Antiqua" w:hAnsi="Book Antiqua" w:cs="Book Antiqua"/>
          <w:sz w:val="24"/>
        </w:rPr>
      </w:pPr>
      <w:r>
        <w:rPr>
          <w:rFonts w:cs="Book Antiqua" w:ascii="Book Antiqua" w:hAnsi="Book Antiqua"/>
          <w:sz w:val="24"/>
        </w:rPr>
      </w:r>
    </w:p>
    <w:p>
      <w:pPr>
        <w:pStyle w:val="BodyTextIndent"/>
        <w:ind w:hanging="0" w:start="0" w:end="0"/>
        <w:rPr/>
      </w:pPr>
      <w:r>
        <w:rPr/>
        <w:t>My name is Latimer P. (Lad) Lorenz.  My business address is 555 West Fifth Street, Los Angeles, California  90013.  I am employed by Southern California Gas Company (SoCalGas) as the Director of Capacity and Operational Planning in the Energy Transportation Services Business Unit.  My responsibilities include managing SoCalGas’ interstate, pipeline capacity rights, intrastate pipeline capacity and SoCalGas’ underground storage capacity.  In addition, I was SoCalGas’ chief spokesperson and lead negotiator in the discussions on capacity-related services which led to the April 17, 2000 Comprehensive Settlement Agreement in the California Public Utilities Commission’s (“Commission”) Order Instituting Investigation (OII.99-07-003) into the further restructuring of the natural gas industry in California (“GIR”).  I joined SoCalGas in 1967 and have held various positions of increasing responsibility within Marketing, Regulatory Affairs, Gas Supply, and Customer Services.  I hold a BS Degree in Thermodynamic Engineering from California State University at Northridge and an MBA from Pepperdine University.</w:t>
      </w:r>
    </w:p>
    <w:p>
      <w:pPr>
        <w:pStyle w:val="Normal"/>
        <w:spacing w:lineRule="auto" w:line="360"/>
        <w:rPr>
          <w:rFonts w:ascii="Book Antiqua" w:hAnsi="Book Antiqua" w:cs="Book Antiqua"/>
          <w:sz w:val="24"/>
        </w:rPr>
      </w:pPr>
      <w:r>
        <w:rPr>
          <w:rFonts w:cs="Book Antiqua" w:ascii="Book Antiqua" w:hAnsi="Book Antiqua"/>
          <w:sz w:val="24"/>
        </w:rPr>
      </w:r>
    </w:p>
    <w:p>
      <w:pPr>
        <w:pStyle w:val="Heading6"/>
        <w:spacing w:lineRule="auto" w:line="360"/>
        <w:ind w:hanging="0" w:start="0"/>
        <w:rPr>
          <w:u w:val="single"/>
        </w:rPr>
      </w:pPr>
      <w:r>
        <w:rPr>
          <w:u w:val="single"/>
        </w:rPr>
        <w:t>Introduction</w:t>
      </w:r>
    </w:p>
    <w:p>
      <w:pPr>
        <w:pStyle w:val="BodyText"/>
        <w:spacing w:lineRule="auto" w:line="360"/>
        <w:rPr/>
      </w:pPr>
      <w:r>
        <w:rPr/>
        <w:t>In Decision D.99-07-015 the CPUC identified the most promising options for continued restructuring of the natural gas industry in S. California.  A number of these most promising options address the restructuring of capacity related services on the SoCalGas system.  The purpose of my testimony is to show that the Comprehensive Settlement Agreement resolves all the capacity related issues described in Decision D.99-07-015 that would otherwise have been litigated, and to describe the benefits that the Comprehensive Settlement Agreement will produce for participants in the natural gas market of S. California.</w:t>
      </w:r>
    </w:p>
    <w:p>
      <w:pPr>
        <w:pStyle w:val="BodyText"/>
        <w:spacing w:lineRule="auto" w:line="360"/>
        <w:rPr/>
      </w:pPr>
      <w:r>
        <w:rPr/>
      </w:r>
    </w:p>
    <w:p>
      <w:pPr>
        <w:pStyle w:val="BodyText"/>
        <w:spacing w:lineRule="auto" w:line="360"/>
        <w:rPr/>
      </w:pPr>
      <w:r>
        <w:rPr/>
        <w:t>The Comprehensive Settlement Agreement is the result of substantial time, effort and energy being devoted by the settlement parties.  It represents a consensus developed through arduous negotiations and is thus a balancing of the interests of all parties.  Taken as a whole, the Comprehensive Settlement Agreement creates benefits for all participants in the natural gas market in Southern California.  In addition, the Comprehensive Settlement Agreement substantially advances the existence of statewide consistency by creating a system in Southern California that is fundamentally similar, and in many respects identical, to that which already exists in Northern California.</w:t>
      </w:r>
    </w:p>
    <w:p>
      <w:pPr>
        <w:pStyle w:val="BodyText"/>
        <w:spacing w:lineRule="auto" w:line="360"/>
        <w:rPr/>
      </w:pPr>
      <w:r>
        <w:rPr/>
      </w:r>
    </w:p>
    <w:p>
      <w:pPr>
        <w:pStyle w:val="BodyText"/>
        <w:spacing w:lineRule="auto" w:line="360"/>
        <w:rPr/>
      </w:pPr>
      <w:r>
        <w:rPr/>
        <w:t>The Comprehensive Settlement Agreement specifically addresses all of the capacity-related most promising options listed in Appendix C to Decision D.99-07-015, including, but not limited to:</w:t>
      </w:r>
    </w:p>
    <w:p>
      <w:pPr>
        <w:pStyle w:val="BodyText"/>
        <w:numPr>
          <w:ilvl w:val="0"/>
          <w:numId w:val="12"/>
        </w:numPr>
        <w:spacing w:lineRule="auto" w:line="360"/>
        <w:rPr/>
      </w:pPr>
      <w:r>
        <w:rPr/>
        <w:t>Create firm, tradable intrastate transmission and storage storage.</w:t>
      </w:r>
    </w:p>
    <w:p>
      <w:pPr>
        <w:pStyle w:val="BodyText"/>
        <w:numPr>
          <w:ilvl w:val="0"/>
          <w:numId w:val="12"/>
        </w:numPr>
        <w:spacing w:lineRule="auto" w:line="360"/>
        <w:rPr/>
      </w:pPr>
      <w:r>
        <w:rPr/>
        <w:t>Place the utility at risk for recovery of the cost of transmission and storage resources.</w:t>
      </w:r>
    </w:p>
    <w:p>
      <w:pPr>
        <w:pStyle w:val="BodyText"/>
        <w:numPr>
          <w:ilvl w:val="0"/>
          <w:numId w:val="12"/>
        </w:numPr>
        <w:spacing w:lineRule="auto" w:line="360"/>
        <w:rPr/>
      </w:pPr>
      <w:r>
        <w:rPr/>
        <w:t>Remove the core from the balancing function.</w:t>
      </w:r>
    </w:p>
    <w:p>
      <w:pPr>
        <w:pStyle w:val="BodyText"/>
        <w:numPr>
          <w:ilvl w:val="0"/>
          <w:numId w:val="12"/>
        </w:numPr>
        <w:spacing w:lineRule="auto" w:line="360"/>
        <w:rPr/>
      </w:pPr>
      <w:r>
        <w:rPr/>
        <w:t>Separate utility HUB services from the core procurement function.</w:t>
      </w:r>
    </w:p>
    <w:p>
      <w:pPr>
        <w:pStyle w:val="BodyText"/>
        <w:numPr>
          <w:ilvl w:val="0"/>
          <w:numId w:val="12"/>
        </w:numPr>
        <w:spacing w:lineRule="auto" w:line="360"/>
        <w:rPr/>
      </w:pPr>
      <w:r>
        <w:rPr/>
        <w:t>Unbundle interstate transmission costs for core transportation customers.</w:t>
      </w:r>
    </w:p>
    <w:p>
      <w:pPr>
        <w:pStyle w:val="Heading4"/>
        <w:numPr>
          <w:ilvl w:val="0"/>
          <w:numId w:val="0"/>
        </w:numPr>
        <w:spacing w:lineRule="auto" w:line="360"/>
        <w:ind w:hanging="0" w:start="0"/>
        <w:jc w:val="start"/>
        <w:rPr>
          <w:b w:val="false"/>
          <w:u w:val="none"/>
        </w:rPr>
      </w:pPr>
      <w:r>
        <w:rPr>
          <w:b w:val="false"/>
          <w:u w:val="none"/>
        </w:rPr>
      </w:r>
    </w:p>
    <w:p>
      <w:pPr>
        <w:pStyle w:val="Heading4"/>
        <w:numPr>
          <w:ilvl w:val="0"/>
          <w:numId w:val="0"/>
        </w:numPr>
        <w:spacing w:lineRule="auto" w:line="360"/>
        <w:ind w:hanging="0" w:start="0"/>
        <w:jc w:val="start"/>
        <w:rPr>
          <w:b w:val="false"/>
          <w:u w:val="none"/>
        </w:rPr>
      </w:pPr>
      <w:r>
        <w:rPr>
          <w:b w:val="false"/>
          <w:u w:val="none"/>
        </w:rPr>
        <w:t>By addressing these most promising options, and in the process addressing other gas industry restructuring provisions, the Comprehensive Settlement Agreement creates substantial benefits for all market participants in S. California.  Principal among the benefits that the Comprehensive Settlement Agreement produces are:</w:t>
      </w:r>
    </w:p>
    <w:p>
      <w:pPr>
        <w:pStyle w:val="Normal"/>
        <w:numPr>
          <w:ilvl w:val="0"/>
          <w:numId w:val="12"/>
        </w:numPr>
        <w:spacing w:lineRule="auto" w:line="360"/>
        <w:rPr>
          <w:rFonts w:ascii="Book Antiqua" w:hAnsi="Book Antiqua" w:cs="Book Antiqua"/>
          <w:sz w:val="24"/>
        </w:rPr>
      </w:pPr>
      <w:r>
        <w:rPr>
          <w:rFonts w:cs="Book Antiqua" w:ascii="Book Antiqua" w:hAnsi="Book Antiqua"/>
          <w:sz w:val="24"/>
        </w:rPr>
        <w:t>Increased competition that will benefit customers through lower prices.</w:t>
      </w:r>
    </w:p>
    <w:p>
      <w:pPr>
        <w:pStyle w:val="Normal"/>
        <w:numPr>
          <w:ilvl w:val="0"/>
          <w:numId w:val="12"/>
        </w:numPr>
        <w:spacing w:lineRule="auto" w:line="360"/>
        <w:rPr>
          <w:rFonts w:ascii="Book Antiqua" w:hAnsi="Book Antiqua" w:cs="Book Antiqua"/>
          <w:sz w:val="24"/>
        </w:rPr>
      </w:pPr>
      <w:r>
        <w:rPr>
          <w:rFonts w:cs="Book Antiqua" w:ascii="Book Antiqua" w:hAnsi="Book Antiqua"/>
          <w:sz w:val="24"/>
        </w:rPr>
        <w:t>Increased customer choice, thus allowing tailored services to meet the needs of a diverse market, including the core market.</w:t>
      </w:r>
    </w:p>
    <w:p>
      <w:pPr>
        <w:pStyle w:val="Normal"/>
        <w:numPr>
          <w:ilvl w:val="0"/>
          <w:numId w:val="12"/>
        </w:numPr>
        <w:spacing w:lineRule="auto" w:line="360"/>
        <w:rPr>
          <w:rFonts w:ascii="Book Antiqua" w:hAnsi="Book Antiqua" w:cs="Book Antiqua"/>
          <w:sz w:val="24"/>
        </w:rPr>
      </w:pPr>
      <w:r>
        <w:rPr>
          <w:rFonts w:cs="Book Antiqua" w:ascii="Book Antiqua" w:hAnsi="Book Antiqua"/>
          <w:sz w:val="24"/>
        </w:rPr>
        <w:t>Creation of new pricing points and trading opportunities that will increase liquidity and lower prices.</w:t>
      </w:r>
    </w:p>
    <w:p>
      <w:pPr>
        <w:pStyle w:val="Normal"/>
        <w:numPr>
          <w:ilvl w:val="0"/>
          <w:numId w:val="12"/>
        </w:numPr>
        <w:spacing w:lineRule="auto" w:line="360"/>
        <w:rPr>
          <w:rFonts w:ascii="Book Antiqua" w:hAnsi="Book Antiqua" w:cs="Book Antiqua"/>
          <w:sz w:val="24"/>
        </w:rPr>
      </w:pPr>
      <w:r>
        <w:rPr>
          <w:rFonts w:cs="Book Antiqua" w:ascii="Book Antiqua" w:hAnsi="Book Antiqua"/>
          <w:sz w:val="24"/>
        </w:rPr>
        <w:t>Increased market efficiency through the trading of capacity rights and imbalances that will lower costs.</w:t>
      </w:r>
    </w:p>
    <w:p>
      <w:pPr>
        <w:pStyle w:val="Normal"/>
        <w:numPr>
          <w:ilvl w:val="0"/>
          <w:numId w:val="12"/>
        </w:numPr>
        <w:spacing w:lineRule="auto" w:line="360"/>
        <w:rPr>
          <w:rFonts w:ascii="Book Antiqua" w:hAnsi="Book Antiqua" w:cs="Book Antiqua"/>
          <w:sz w:val="24"/>
        </w:rPr>
      </w:pPr>
      <w:r>
        <w:rPr>
          <w:rFonts w:cs="Book Antiqua" w:ascii="Book Antiqua" w:hAnsi="Book Antiqua"/>
          <w:sz w:val="24"/>
        </w:rPr>
        <w:t>Increased certainty through rate stability and the creation of firm capacity rights that will result in lower costs.</w:t>
      </w:r>
    </w:p>
    <w:p>
      <w:pPr>
        <w:pStyle w:val="Normal"/>
        <w:numPr>
          <w:ilvl w:val="0"/>
          <w:numId w:val="12"/>
        </w:numPr>
        <w:spacing w:lineRule="auto" w:line="360"/>
        <w:rPr>
          <w:rFonts w:ascii="Book Antiqua" w:hAnsi="Book Antiqua" w:cs="Book Antiqua"/>
          <w:sz w:val="24"/>
        </w:rPr>
      </w:pPr>
      <w:r>
        <w:rPr>
          <w:rFonts w:cs="Book Antiqua" w:ascii="Book Antiqua" w:hAnsi="Book Antiqua"/>
          <w:sz w:val="24"/>
        </w:rPr>
        <w:t>Restructuring on an embedded cost basis (as compared to LRMC-based) that will reduce regulatory uncertainty and contention while stabilizing results.</w:t>
      </w:r>
    </w:p>
    <w:p>
      <w:pPr>
        <w:pStyle w:val="Normal"/>
        <w:numPr>
          <w:ilvl w:val="0"/>
          <w:numId w:val="12"/>
        </w:numPr>
        <w:spacing w:lineRule="auto" w:line="360"/>
        <w:rPr>
          <w:rFonts w:ascii="Book Antiqua" w:hAnsi="Book Antiqua" w:cs="Book Antiqua"/>
          <w:sz w:val="24"/>
        </w:rPr>
      </w:pPr>
      <w:r>
        <w:rPr>
          <w:rFonts w:cs="Book Antiqua" w:ascii="Book Antiqua" w:hAnsi="Book Antiqua"/>
          <w:sz w:val="24"/>
        </w:rPr>
        <w:t>Protection against market power concerns through the use of open season, capacity reservations and market concentration restrictions to ensure a nondiscriminating, competitive capacity market.</w:t>
      </w:r>
    </w:p>
    <w:p>
      <w:pPr>
        <w:pStyle w:val="Normal"/>
        <w:spacing w:lineRule="auto" w:line="360"/>
        <w:rPr>
          <w:rFonts w:ascii="Book Antiqua" w:hAnsi="Book Antiqua" w:cs="Book Antiqua"/>
          <w:sz w:val="24"/>
        </w:rPr>
      </w:pPr>
      <w:r>
        <w:rPr>
          <w:rFonts w:cs="Book Antiqua" w:ascii="Book Antiqua" w:hAnsi="Book Antiqua"/>
          <w:sz w:val="24"/>
        </w:rPr>
      </w:r>
    </w:p>
    <w:p>
      <w:pPr>
        <w:pStyle w:val="BodyText"/>
        <w:rPr>
          <w:u w:val="single"/>
        </w:rPr>
      </w:pPr>
      <w:r>
        <w:rPr>
          <w:u w:val="single"/>
        </w:rPr>
        <w:t>Relationship of the Comprehensive Settlement to the Interim Settlement</w:t>
      </w:r>
    </w:p>
    <w:p>
      <w:pPr>
        <w:pStyle w:val="BodyText"/>
        <w:rPr>
          <w:u w:val="single"/>
        </w:rPr>
      </w:pPr>
      <w:r>
        <w:rPr>
          <w:u w:val="single"/>
        </w:rPr>
      </w:r>
    </w:p>
    <w:p>
      <w:pPr>
        <w:pStyle w:val="Normal"/>
        <w:rPr>
          <w:rFonts w:ascii="Book Antiqua" w:hAnsi="Book Antiqua" w:cs="Book Antiqua"/>
          <w:sz w:val="24"/>
        </w:rPr>
      </w:pPr>
      <w:r>
        <w:rPr>
          <w:rFonts w:cs="Book Antiqua" w:ascii="Book Antiqua" w:hAnsi="Book Antiqua"/>
          <w:sz w:val="24"/>
        </w:rPr>
        <w:t>SoCalGas and SDG&amp;E were signatories to the Interim Settlement filed on December 27, 1999, as well as the Comprehensive Settlement.</w:t>
      </w:r>
    </w:p>
    <w:p>
      <w:pPr>
        <w:pStyle w:val="Normal"/>
        <w:rPr>
          <w:rFonts w:ascii="Book Antiqua" w:hAnsi="Book Antiqua" w:cs="Book Antiqua"/>
          <w:sz w:val="24"/>
        </w:rPr>
      </w:pPr>
      <w:r>
        <w:rPr>
          <w:rFonts w:cs="Book Antiqua" w:ascii="Book Antiqua" w:hAnsi="Book Antiqua"/>
          <w:sz w:val="24"/>
        </w:rPr>
      </w:r>
    </w:p>
    <w:p>
      <w:pPr>
        <w:pStyle w:val="Normal"/>
        <w:rPr>
          <w:rFonts w:ascii="Book Antiqua" w:hAnsi="Book Antiqua" w:cs="Book Antiqua"/>
          <w:sz w:val="24"/>
        </w:rPr>
      </w:pPr>
      <w:r>
        <w:rPr>
          <w:rFonts w:cs="Book Antiqua" w:ascii="Book Antiqua" w:hAnsi="Book Antiqua"/>
          <w:sz w:val="24"/>
        </w:rPr>
        <w:t>The Comprehensive Settlement covers many issues that the Interim Settlement did not address, and on which the Interim Settlement left the Commission with the discretion to implement regulatory changes at any time.  However, the Comprehensive Settlement includes some provisions, especially with respect to the unbundling of SoCalGas’ backbone transmission service on October 1, 2001, that are different from the provisions the Interim Settlement would apply through December 31, 2002.</w:t>
      </w:r>
    </w:p>
    <w:p>
      <w:pPr>
        <w:pStyle w:val="Normal"/>
        <w:rPr>
          <w:rFonts w:ascii="Book Antiqua" w:hAnsi="Book Antiqua" w:cs="Book Antiqua"/>
          <w:sz w:val="24"/>
        </w:rPr>
      </w:pPr>
      <w:r>
        <w:rPr>
          <w:rFonts w:cs="Book Antiqua" w:ascii="Book Antiqua" w:hAnsi="Book Antiqua"/>
          <w:sz w:val="24"/>
        </w:rPr>
      </w:r>
    </w:p>
    <w:p>
      <w:pPr>
        <w:pStyle w:val="BodyText"/>
        <w:rPr/>
      </w:pPr>
      <w:r>
        <w:rPr/>
        <w:t>On the issues that both the Interim Settlement and the Comprehensive Settlement address, SoCalGas and SDG&amp;E remain willing to accept the terms of the Interim Settlement if they are acceptable to the Commission.  However, to the extent the Interim Settlement is not acceptable to the Commission, SoCalGas and SDG&amp;E support the provisions of the Comprehensive Settlement.</w:t>
      </w:r>
    </w:p>
    <w:p>
      <w:pPr>
        <w:pStyle w:val="Normal"/>
        <w:spacing w:lineRule="auto" w:line="360"/>
        <w:rPr>
          <w:rFonts w:ascii="Book Antiqua" w:hAnsi="Book Antiqua" w:cs="Book Antiqua"/>
          <w:sz w:val="24"/>
        </w:rPr>
      </w:pPr>
      <w:r>
        <w:rPr>
          <w:rFonts w:cs="Book Antiqua" w:ascii="Book Antiqua" w:hAnsi="Book Antiqua"/>
          <w:sz w:val="24"/>
        </w:rPr>
      </w:r>
    </w:p>
    <w:p>
      <w:pPr>
        <w:pStyle w:val="BodyText"/>
        <w:rPr>
          <w:rFonts w:ascii="Book Antiqua" w:hAnsi="Book Antiqua" w:cs="Book Antiqua"/>
          <w:sz w:val="24"/>
          <w:u w:val="single"/>
        </w:rPr>
      </w:pPr>
      <w:r>
        <w:rPr>
          <w:rFonts w:cs="Book Antiqua"/>
          <w:sz w:val="24"/>
          <w:u w:val="single"/>
        </w:rPr>
      </w:r>
    </w:p>
    <w:p>
      <w:pPr>
        <w:pStyle w:val="BodyText"/>
        <w:rPr>
          <w:u w:val="single"/>
        </w:rPr>
      </w:pPr>
      <w:r>
        <w:rPr>
          <w:u w:val="single"/>
        </w:rPr>
        <w:t>Implementation Costs</w:t>
      </w:r>
    </w:p>
    <w:p>
      <w:pPr>
        <w:pStyle w:val="BodyText"/>
        <w:rPr/>
      </w:pPr>
      <w:r>
        <w:rPr/>
        <w:t>Implementation of the capacity related elements of the Comprehensive Settlement Agreement will require SoCalGas to spend considerable amounts to develop new computer system and enhance or modify existing computer system in order to provide the capabilities described herein.  In addition to the development costs, there will also be ongoing costs associated with operating and maintaining these systems and the related equipment.  The Comprehensive Settlement Agreement provides that SoCalGas shall only be entitled to recover an incremental $2MM/year plus any revenues associated with pooling fees, imbalance fees and trading rights fees until SoCalGas’ next PBR decision.  This implementation cost is only approximately $800 K/year more than the implementation cost associated with the Interim Settlement.  The higher implementation costs for the Comprehensive Settlement Agreement are necessary to provide secondary markets, intrastate transmission unbundling, storage unbundling and interstate capacity unbundling options not addressed in the Interim Settlement.  The increment implementation cost associated with the capacity related elements of the Comprehensive Settlement Agreement costs will be allocated on an equal cent per therm basis.</w:t>
      </w:r>
    </w:p>
    <w:p>
      <w:pPr>
        <w:pStyle w:val="BodyText"/>
        <w:spacing w:lineRule="auto" w:line="360"/>
        <w:jc w:val="center"/>
        <w:rPr>
          <w:b/>
        </w:rPr>
      </w:pPr>
      <w:r>
        <w:rPr>
          <w:b/>
        </w:rPr>
      </w:r>
    </w:p>
    <w:p>
      <w:pPr>
        <w:pStyle w:val="BodyText"/>
        <w:spacing w:lineRule="auto" w:line="360"/>
        <w:jc w:val="center"/>
        <w:rPr>
          <w:b/>
        </w:rPr>
      </w:pPr>
      <w:r>
        <w:rPr>
          <w:b/>
        </w:rPr>
        <w:t>Overview of Costs/Benefits of Settlement</w:t>
      </w:r>
    </w:p>
    <w:p>
      <w:pPr>
        <w:pStyle w:val="BodyText"/>
        <w:spacing w:lineRule="auto" w:line="360"/>
        <w:rPr>
          <w:b/>
        </w:rPr>
      </w:pPr>
      <w:r>
        <w:rPr>
          <w:b/>
        </w:rPr>
      </w:r>
    </w:p>
    <w:p>
      <w:pPr>
        <w:pStyle w:val="BodyText"/>
        <w:spacing w:lineRule="auto" w:line="360"/>
        <w:rPr/>
      </w:pPr>
      <w:r>
        <w:rPr/>
        <w:t>Before discussing the individual elements of the Comprehensive Settlement Agreement, I would like to summarize the major benefits for the various parties.</w:t>
      </w:r>
    </w:p>
    <w:p>
      <w:pPr>
        <w:pStyle w:val="BodyText"/>
        <w:spacing w:lineRule="auto" w:line="360"/>
        <w:rPr/>
      </w:pPr>
      <w:r>
        <w:rPr/>
      </w:r>
    </w:p>
    <w:p>
      <w:pPr>
        <w:pStyle w:val="BodyText"/>
        <w:spacing w:lineRule="auto" w:line="360"/>
        <w:rPr>
          <w:i/>
          <w:i/>
        </w:rPr>
      </w:pPr>
      <w:r>
        <w:rPr>
          <w:i/>
        </w:rPr>
        <w:t>Residential Core Customers (Primarily Retail Core Customers)</w:t>
      </w:r>
    </w:p>
    <w:p>
      <w:pPr>
        <w:pStyle w:val="BodyText"/>
        <w:numPr>
          <w:ilvl w:val="0"/>
          <w:numId w:val="10"/>
        </w:numPr>
        <w:spacing w:lineRule="auto" w:line="360"/>
        <w:rPr/>
      </w:pPr>
      <w:r>
        <w:rPr/>
        <w:t>These customers will benefit from the elimination of the current responsibility for noncore ITCS after 2001, about a $8-10 million/year cost.</w:t>
      </w:r>
    </w:p>
    <w:p>
      <w:pPr>
        <w:pStyle w:val="BodyText"/>
        <w:numPr>
          <w:ilvl w:val="0"/>
          <w:numId w:val="10"/>
        </w:numPr>
        <w:spacing w:lineRule="auto" w:line="360"/>
        <w:rPr/>
      </w:pPr>
      <w:r>
        <w:rPr/>
        <w:t>These customers will realize a $5 million/year decrease in storage costs.</w:t>
      </w:r>
    </w:p>
    <w:p>
      <w:pPr>
        <w:pStyle w:val="BodyText"/>
        <w:numPr>
          <w:ilvl w:val="0"/>
          <w:numId w:val="10"/>
        </w:numPr>
        <w:spacing w:lineRule="auto" w:line="360"/>
        <w:rPr/>
      </w:pPr>
      <w:r>
        <w:rPr/>
        <w:t>These customers will have intrastate Backbone Transmission rights allocated to them that match their interstate pipeline capacity commitments.</w:t>
      </w:r>
    </w:p>
    <w:p>
      <w:pPr>
        <w:pStyle w:val="BodyText"/>
        <w:numPr>
          <w:ilvl w:val="0"/>
          <w:numId w:val="10"/>
        </w:numPr>
        <w:spacing w:lineRule="auto" w:line="360"/>
        <w:rPr/>
      </w:pPr>
      <w:r>
        <w:rPr/>
        <w:t>These customers will benefit from secondary market sales of temporarily excess storage and intrastate transmission capacity.</w:t>
      </w:r>
    </w:p>
    <w:p>
      <w:pPr>
        <w:pStyle w:val="BodyText"/>
        <w:numPr>
          <w:ilvl w:val="0"/>
          <w:numId w:val="10"/>
        </w:numPr>
        <w:spacing w:lineRule="auto" w:line="360"/>
        <w:rPr/>
      </w:pPr>
      <w:r>
        <w:rPr/>
        <w:t>These customers will benefit from increasing CTA growth and service.</w:t>
      </w:r>
    </w:p>
    <w:p>
      <w:pPr>
        <w:pStyle w:val="BodyText"/>
        <w:spacing w:lineRule="auto" w:line="360"/>
        <w:rPr/>
      </w:pPr>
      <w:r>
        <w:rPr/>
      </w:r>
    </w:p>
    <w:p>
      <w:pPr>
        <w:pStyle w:val="BodyText"/>
        <w:spacing w:lineRule="auto" w:line="360"/>
        <w:rPr>
          <w:i/>
          <w:i/>
        </w:rPr>
      </w:pPr>
      <w:r>
        <w:rPr>
          <w:i/>
        </w:rPr>
        <w:t>Core C&amp;I Customers (Expected to become primarily customers of CTAs)</w:t>
      </w:r>
    </w:p>
    <w:p>
      <w:pPr>
        <w:pStyle w:val="BodyText"/>
        <w:numPr>
          <w:ilvl w:val="0"/>
          <w:numId w:val="7"/>
        </w:numPr>
        <w:spacing w:lineRule="auto" w:line="360"/>
        <w:rPr/>
      </w:pPr>
      <w:r>
        <w:rPr/>
        <w:t>Unbundling of interstate capacity for CTAs will provide a 20-30 cent/dth price advantage for aggregators that will benefit CTA customers.</w:t>
      </w:r>
    </w:p>
    <w:p>
      <w:pPr>
        <w:pStyle w:val="BodyText"/>
        <w:numPr>
          <w:ilvl w:val="0"/>
          <w:numId w:val="7"/>
        </w:numPr>
        <w:spacing w:lineRule="auto" w:line="360"/>
        <w:rPr/>
      </w:pPr>
      <w:r>
        <w:rPr/>
        <w:t>Unbundling of storage for CTAs will provide up to a 10 cents/dth credit for CTAs and, potentially, their customers, depending upon the cost of storage alternatives.</w:t>
      </w:r>
    </w:p>
    <w:p>
      <w:pPr>
        <w:pStyle w:val="BodyText"/>
        <w:numPr>
          <w:ilvl w:val="0"/>
          <w:numId w:val="7"/>
        </w:numPr>
        <w:spacing w:lineRule="auto" w:line="360"/>
        <w:rPr/>
      </w:pPr>
      <w:r>
        <w:rPr/>
        <w:t>Unbundled intrastate transmission capacity will allow CTAs to provide Los Angeles citygate service that may be several cents/dth below the price of California border purchases plus unbundled intrastate transmission service.</w:t>
      </w:r>
    </w:p>
    <w:p>
      <w:pPr>
        <w:pStyle w:val="BodyText"/>
        <w:numPr>
          <w:ilvl w:val="0"/>
          <w:numId w:val="7"/>
        </w:numPr>
        <w:spacing w:lineRule="auto" w:line="360"/>
        <w:rPr/>
      </w:pPr>
      <w:r>
        <w:rPr/>
        <w:t>These customers will also benefit from the elimination of the current responsibility for noncore ITCS after 2001, about a $8-10 million/year cost.</w:t>
      </w:r>
    </w:p>
    <w:p>
      <w:pPr>
        <w:pStyle w:val="BodyText"/>
        <w:spacing w:lineRule="auto" w:line="360"/>
        <w:rPr/>
      </w:pPr>
      <w:r>
        <w:rPr/>
      </w:r>
    </w:p>
    <w:p>
      <w:pPr>
        <w:pStyle w:val="BodyText"/>
        <w:spacing w:lineRule="auto" w:line="360"/>
        <w:rPr>
          <w:i/>
          <w:i/>
        </w:rPr>
      </w:pPr>
      <w:r>
        <w:rPr>
          <w:i/>
        </w:rPr>
        <w:t>Noncore customers</w:t>
      </w:r>
    </w:p>
    <w:p>
      <w:pPr>
        <w:pStyle w:val="BodyText"/>
        <w:numPr>
          <w:ilvl w:val="0"/>
          <w:numId w:val="9"/>
        </w:numPr>
        <w:spacing w:lineRule="auto" w:line="360"/>
        <w:rPr/>
      </w:pPr>
      <w:r>
        <w:rPr/>
        <w:t>Even though the elimination of the core responsibility for noncore ITCS will increase these customers' rates somewhat relative to the 1999 BCAP, they receive the quid quo pro that, over the longer-term, the stranded costs from core interstate capacity unbundling remain with core customers.</w:t>
      </w:r>
    </w:p>
    <w:p>
      <w:pPr>
        <w:pStyle w:val="BodyText"/>
        <w:numPr>
          <w:ilvl w:val="0"/>
          <w:numId w:val="9"/>
        </w:numPr>
        <w:spacing w:lineRule="auto" w:line="360"/>
        <w:rPr/>
      </w:pPr>
      <w:r>
        <w:rPr/>
        <w:t>Rate certainty is provided for transmission and storage products.</w:t>
      </w:r>
    </w:p>
    <w:p>
      <w:pPr>
        <w:pStyle w:val="BodyText"/>
        <w:numPr>
          <w:ilvl w:val="0"/>
          <w:numId w:val="9"/>
        </w:numPr>
        <w:spacing w:lineRule="auto" w:line="360"/>
        <w:rPr/>
      </w:pPr>
      <w:r>
        <w:rPr/>
        <w:t>Market power concerns are allayed through open season opportunities in both storage and transmission.</w:t>
      </w:r>
    </w:p>
    <w:p>
      <w:pPr>
        <w:pStyle w:val="BodyText"/>
        <w:numPr>
          <w:ilvl w:val="0"/>
          <w:numId w:val="9"/>
        </w:numPr>
        <w:spacing w:lineRule="auto" w:line="360"/>
        <w:rPr/>
      </w:pPr>
      <w:r>
        <w:rPr/>
        <w:t>SoCalGas' at-risk provisions for unbundled transmission and storage ensure that they bear none of the risks and potentially realize the benefits of discounting that SoCalGas may find necessary to compete.</w:t>
      </w:r>
    </w:p>
    <w:p>
      <w:pPr>
        <w:pStyle w:val="BodyText"/>
        <w:numPr>
          <w:ilvl w:val="0"/>
          <w:numId w:val="9"/>
        </w:numPr>
        <w:spacing w:lineRule="auto" w:line="360"/>
        <w:rPr/>
      </w:pPr>
      <w:r>
        <w:rPr/>
        <w:t>The balancing function is unbundled.</w:t>
      </w:r>
    </w:p>
    <w:p>
      <w:pPr>
        <w:pStyle w:val="BodyText"/>
        <w:spacing w:lineRule="auto" w:line="360"/>
        <w:rPr/>
      </w:pPr>
      <w:r>
        <w:rPr/>
      </w:r>
    </w:p>
    <w:p>
      <w:pPr>
        <w:pStyle w:val="BodyText"/>
        <w:spacing w:lineRule="auto" w:line="360"/>
        <w:rPr>
          <w:u w:val="single"/>
        </w:rPr>
      </w:pPr>
      <w:r>
        <w:rPr>
          <w:i/>
        </w:rPr>
        <w:t>Marketers &amp; Competitors</w:t>
      </w:r>
    </w:p>
    <w:p>
      <w:pPr>
        <w:pStyle w:val="BodyText"/>
        <w:numPr>
          <w:ilvl w:val="0"/>
          <w:numId w:val="4"/>
        </w:numPr>
        <w:spacing w:lineRule="auto" w:line="360"/>
        <w:rPr/>
      </w:pPr>
      <w:r>
        <w:rPr/>
        <w:t>New competitive and service opportunities are provided through the unbundling of transmission, storage, and balancing.</w:t>
      </w:r>
    </w:p>
    <w:p>
      <w:pPr>
        <w:pStyle w:val="BodyText"/>
        <w:numPr>
          <w:ilvl w:val="0"/>
          <w:numId w:val="4"/>
        </w:numPr>
        <w:spacing w:lineRule="auto" w:line="360"/>
        <w:rPr/>
      </w:pPr>
      <w:r>
        <w:rPr/>
        <w:t>New secondary market trading, imbalance trading, and pooling opportunities are provided.</w:t>
      </w:r>
    </w:p>
    <w:p>
      <w:pPr>
        <w:pStyle w:val="BodyText"/>
        <w:numPr>
          <w:ilvl w:val="0"/>
          <w:numId w:val="4"/>
        </w:numPr>
        <w:spacing w:lineRule="auto" w:line="360"/>
        <w:rPr/>
      </w:pPr>
      <w:r>
        <w:rPr/>
        <w:t>SoCalGas' at-risk provisions for unbundled services ensure that any SoCalGas discounts to compete are, like its competitors, funded by shareholders, not ratepayers.</w:t>
      </w:r>
    </w:p>
    <w:p>
      <w:pPr>
        <w:pStyle w:val="BodyText"/>
        <w:numPr>
          <w:ilvl w:val="0"/>
          <w:numId w:val="4"/>
        </w:numPr>
        <w:spacing w:lineRule="auto" w:line="360"/>
        <w:rPr/>
      </w:pPr>
      <w:r>
        <w:rPr/>
        <w:t>The definition of storage and transmission rights creates greater structure and certainty in which these parties may operate.</w:t>
      </w:r>
    </w:p>
    <w:p>
      <w:pPr>
        <w:pStyle w:val="BodyText"/>
        <w:numPr>
          <w:ilvl w:val="0"/>
          <w:numId w:val="0"/>
        </w:numPr>
        <w:spacing w:lineRule="auto" w:line="360"/>
        <w:ind w:hanging="0" w:start="0"/>
        <w:rPr/>
      </w:pPr>
      <w:r>
        <w:rPr/>
        <w:t>The Comprehensive Settlement Agreement on capacity issues can be viewed in terms of its restructuring provisions that relate to the following broad categories:</w:t>
      </w:r>
    </w:p>
    <w:p>
      <w:pPr>
        <w:pStyle w:val="Normal"/>
        <w:numPr>
          <w:ilvl w:val="0"/>
          <w:numId w:val="12"/>
        </w:numPr>
        <w:spacing w:lineRule="auto" w:line="360"/>
        <w:rPr>
          <w:rFonts w:ascii="Book Antiqua" w:hAnsi="Book Antiqua" w:cs="Book Antiqua"/>
          <w:sz w:val="24"/>
        </w:rPr>
      </w:pPr>
      <w:r>
        <w:rPr>
          <w:rFonts w:cs="Book Antiqua" w:ascii="Book Antiqua" w:hAnsi="Book Antiqua"/>
          <w:sz w:val="24"/>
        </w:rPr>
        <w:t>Restructuring Intrastate Transmission</w:t>
      </w:r>
    </w:p>
    <w:p>
      <w:pPr>
        <w:pStyle w:val="Normal"/>
        <w:numPr>
          <w:ilvl w:val="0"/>
          <w:numId w:val="12"/>
        </w:numPr>
        <w:spacing w:lineRule="auto" w:line="360"/>
        <w:rPr>
          <w:rFonts w:ascii="Book Antiqua" w:hAnsi="Book Antiqua" w:cs="Book Antiqua"/>
          <w:sz w:val="24"/>
        </w:rPr>
      </w:pPr>
      <w:r>
        <w:rPr>
          <w:rFonts w:cs="Book Antiqua" w:ascii="Book Antiqua" w:hAnsi="Book Antiqua"/>
          <w:sz w:val="24"/>
        </w:rPr>
        <w:t>Restructuring Storage</w:t>
      </w:r>
    </w:p>
    <w:p>
      <w:pPr>
        <w:pStyle w:val="Normal"/>
        <w:numPr>
          <w:ilvl w:val="0"/>
          <w:numId w:val="12"/>
        </w:numPr>
        <w:spacing w:lineRule="auto" w:line="360"/>
        <w:rPr>
          <w:rFonts w:ascii="Book Antiqua" w:hAnsi="Book Antiqua" w:cs="Book Antiqua"/>
          <w:sz w:val="24"/>
        </w:rPr>
      </w:pPr>
      <w:r>
        <w:rPr>
          <w:rFonts w:cs="Book Antiqua" w:ascii="Book Antiqua" w:hAnsi="Book Antiqua"/>
          <w:sz w:val="24"/>
        </w:rPr>
        <w:t>Restructuring Balancing</w:t>
      </w:r>
    </w:p>
    <w:p>
      <w:pPr>
        <w:pStyle w:val="Normal"/>
        <w:numPr>
          <w:ilvl w:val="0"/>
          <w:numId w:val="12"/>
        </w:numPr>
        <w:spacing w:lineRule="auto" w:line="360"/>
        <w:rPr>
          <w:rFonts w:ascii="Book Antiqua" w:hAnsi="Book Antiqua" w:cs="Book Antiqua"/>
          <w:sz w:val="24"/>
        </w:rPr>
      </w:pPr>
      <w:r>
        <w:rPr>
          <w:rFonts w:cs="Book Antiqua" w:ascii="Book Antiqua" w:hAnsi="Book Antiqua"/>
          <w:sz w:val="24"/>
        </w:rPr>
        <w:t>Restructuring Core Interstate Transmission</w:t>
      </w:r>
    </w:p>
    <w:p>
      <w:pPr>
        <w:pStyle w:val="Normal"/>
        <w:numPr>
          <w:ilvl w:val="0"/>
          <w:numId w:val="12"/>
        </w:numPr>
        <w:spacing w:lineRule="auto" w:line="360"/>
        <w:rPr>
          <w:rFonts w:ascii="Book Antiqua" w:hAnsi="Book Antiqua" w:cs="Book Antiqua"/>
          <w:sz w:val="24"/>
        </w:rPr>
      </w:pPr>
      <w:r>
        <w:rPr>
          <w:rFonts w:cs="Book Antiqua" w:ascii="Book Antiqua" w:hAnsi="Book Antiqua"/>
          <w:sz w:val="24"/>
        </w:rPr>
        <w:t>Restructuring Information Sharing</w:t>
      </w:r>
    </w:p>
    <w:p>
      <w:pPr>
        <w:pStyle w:val="Normal"/>
        <w:spacing w:lineRule="auto" w:line="360"/>
        <w:rPr>
          <w:rFonts w:ascii="Book Antiqua" w:hAnsi="Book Antiqua" w:cs="Book Antiqua"/>
          <w:sz w:val="24"/>
        </w:rPr>
      </w:pPr>
      <w:r>
        <w:rPr>
          <w:rFonts w:cs="Book Antiqua" w:ascii="Book Antiqua" w:hAnsi="Book Antiqua"/>
          <w:sz w:val="24"/>
        </w:rPr>
      </w:r>
    </w:p>
    <w:p>
      <w:pPr>
        <w:pStyle w:val="BodyText"/>
        <w:spacing w:lineRule="auto" w:line="360"/>
        <w:rPr/>
      </w:pPr>
      <w:r>
        <w:rPr/>
        <w:t>The following is an overview of the Comprehensive Settlement Agreement provisions and the benefits for each of these major restructuring initiatives.</w:t>
      </w:r>
    </w:p>
    <w:p>
      <w:pPr>
        <w:pStyle w:val="BodyText"/>
        <w:spacing w:lineRule="auto" w:line="360"/>
        <w:rPr/>
      </w:pPr>
      <w:r>
        <w:rPr/>
      </w:r>
    </w:p>
    <w:p>
      <w:pPr>
        <w:pStyle w:val="Heading4"/>
        <w:spacing w:lineRule="auto" w:line="360"/>
        <w:ind w:hanging="0" w:start="0"/>
        <w:rPr/>
      </w:pPr>
      <w:r>
        <w:rPr/>
      </w:r>
    </w:p>
    <w:p>
      <w:pPr>
        <w:pStyle w:val="Heading4"/>
        <w:spacing w:lineRule="auto" w:line="360"/>
        <w:ind w:hanging="0" w:start="0"/>
        <w:rPr/>
      </w:pPr>
      <w:r>
        <w:rPr/>
        <w:t>Restructuring Intrastate Transmission</w:t>
      </w:r>
    </w:p>
    <w:p>
      <w:pPr>
        <w:pStyle w:val="BodyText"/>
        <w:spacing w:lineRule="auto" w:line="360"/>
        <w:rPr>
          <w:i/>
          <w:i/>
        </w:rPr>
      </w:pPr>
      <w:r>
        <w:rPr>
          <w:i/>
        </w:rPr>
        <w:t>Summary</w:t>
      </w:r>
    </w:p>
    <w:p>
      <w:pPr>
        <w:pStyle w:val="BodyText"/>
        <w:spacing w:lineRule="auto" w:line="360"/>
        <w:rPr/>
      </w:pPr>
      <w:r>
        <w:rPr/>
        <w:t xml:space="preserve">The Comprehensive Settlement Agreement is consistent with all of the most promising intrastate transmission options identified in Decision D.99-07-015.  Specifically, the Comprehensive Settlement Agreement (1) creates firm tradable Backbone Transmission rights, (2) creates a secondary market for the trading of firm Backbone Transmission rights, (3) places SoCalGas fully at risk for the recovery of restructured firm Backbone Transmission costs, (4) establishes clear procedures for allocating Backbone Transmission rights, (5) establishes Hector Road as a new firm Backbone Transmission receipt point, and (6) eliminates SoCalGas' current windowing procedures.  The Comprehensive Settlement Agreement also is designed to promote consistency by unbundling the embedded costs of the transmission system and by establishing pooling services.  All these restructurings provisions are intended to enhance competition, increase customer choice, increase market efficiency and lower costs to all market participants. </w:t>
      </w:r>
    </w:p>
    <w:p>
      <w:pPr>
        <w:pStyle w:val="BodyText"/>
        <w:spacing w:lineRule="auto" w:line="360"/>
        <w:rPr>
          <w:rFonts w:eastAsia="Book Antiqua"/>
        </w:rPr>
      </w:pPr>
      <w:r>
        <w:rPr>
          <w:rFonts w:eastAsia="Book Antiqua"/>
        </w:rPr>
        <w:t xml:space="preserve"> </w:t>
      </w:r>
    </w:p>
    <w:p>
      <w:pPr>
        <w:pStyle w:val="Heading5"/>
        <w:spacing w:lineRule="auto" w:line="360"/>
        <w:ind w:hanging="0" w:start="0"/>
        <w:rPr/>
      </w:pPr>
      <w:r>
        <w:rPr/>
        <w:t xml:space="preserve">1.  Firm Intrastate Backbone Transmission Rights  </w:t>
      </w:r>
      <w:r>
        <w:rPr>
          <w:i/>
          <w:u w:val="none"/>
        </w:rPr>
        <w:t>Section 1.1</w:t>
      </w:r>
    </w:p>
    <w:p>
      <w:pPr>
        <w:pStyle w:val="Normal"/>
        <w:spacing w:lineRule="auto" w:line="360"/>
        <w:rPr>
          <w:rFonts w:ascii="Book Antiqua" w:hAnsi="Book Antiqua" w:cs="Book Antiqua"/>
          <w:sz w:val="24"/>
        </w:rPr>
      </w:pPr>
      <w:r>
        <w:rPr>
          <w:rFonts w:cs="Book Antiqua" w:ascii="Book Antiqua" w:hAnsi="Book Antiqua"/>
          <w:sz w:val="24"/>
        </w:rPr>
        <w:t>The Comprehensive Settlement Agreement creates firm intrastate backbone transmission capacity rights at each of the seven receipt points into the SoCalGas system below.</w:t>
      </w:r>
    </w:p>
    <w:p>
      <w:pPr>
        <w:pStyle w:val="Heading2"/>
        <w:spacing w:before="120" w:after="60"/>
        <w:ind w:hanging="0" w:start="0"/>
        <w:jc w:val="center"/>
        <w:rPr/>
      </w:pPr>
      <w:r>
        <w:rPr/>
        <w:t>SoCalGas Backbone Transmission Receipt Point Capacity</w:t>
      </w:r>
    </w:p>
    <w:tbl>
      <w:tblPr>
        <w:tblW w:w="7041" w:type="dxa"/>
        <w:jc w:val="start"/>
        <w:tblInd w:w="1278" w:type="dxa"/>
        <w:tblLayout w:type="fixed"/>
        <w:tblCellMar>
          <w:top w:w="0" w:type="dxa"/>
          <w:start w:w="108" w:type="dxa"/>
          <w:bottom w:w="0" w:type="dxa"/>
          <w:end w:w="108" w:type="dxa"/>
        </w:tblCellMar>
      </w:tblPr>
      <w:tblGrid>
        <w:gridCol w:w="2347"/>
        <w:gridCol w:w="2963"/>
        <w:gridCol w:w="1731"/>
      </w:tblGrid>
      <w:tr>
        <w:trPr/>
        <w:tc>
          <w:tcPr>
            <w:tcW w:w="234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jc w:val="center"/>
              <w:rPr>
                <w:rFonts w:ascii="Book Antiqua" w:hAnsi="Book Antiqua" w:cs="Book Antiqua"/>
                <w:sz w:val="22"/>
              </w:rPr>
            </w:pPr>
            <w:r>
              <w:rPr>
                <w:rFonts w:cs="Book Antiqua" w:ascii="Book Antiqua" w:hAnsi="Book Antiqua"/>
                <w:sz w:val="22"/>
              </w:rPr>
              <w:t>Receipt Point</w:t>
            </w:r>
          </w:p>
        </w:tc>
        <w:tc>
          <w:tcPr>
            <w:tcW w:w="296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jc w:val="center"/>
              <w:rPr>
                <w:rFonts w:ascii="Book Antiqua" w:hAnsi="Book Antiqua" w:cs="Book Antiqua"/>
                <w:sz w:val="22"/>
              </w:rPr>
            </w:pPr>
            <w:r>
              <w:rPr>
                <w:rFonts w:cs="Book Antiqua" w:ascii="Book Antiqua" w:hAnsi="Book Antiqua"/>
                <w:sz w:val="22"/>
              </w:rPr>
              <w:t>Interconnecting Pipeline</w:t>
            </w:r>
          </w:p>
        </w:tc>
        <w:tc>
          <w:tcPr>
            <w:tcW w:w="173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jc w:val="center"/>
              <w:rPr>
                <w:rFonts w:ascii="Book Antiqua" w:hAnsi="Book Antiqua" w:cs="Book Antiqua"/>
                <w:sz w:val="22"/>
              </w:rPr>
            </w:pPr>
            <w:r>
              <w:rPr>
                <w:rFonts w:cs="Book Antiqua" w:ascii="Book Antiqua" w:hAnsi="Book Antiqua"/>
                <w:sz w:val="22"/>
              </w:rPr>
              <w:t>Firm Capacity</w:t>
            </w:r>
          </w:p>
        </w:tc>
      </w:tr>
      <w:tr>
        <w:trPr/>
        <w:tc>
          <w:tcPr>
            <w:tcW w:w="234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rPr>
                <w:rFonts w:ascii="Book Antiqua" w:hAnsi="Book Antiqua" w:cs="Book Antiqua"/>
                <w:sz w:val="22"/>
              </w:rPr>
            </w:pPr>
            <w:r>
              <w:rPr>
                <w:rFonts w:cs="Book Antiqua" w:ascii="Book Antiqua" w:hAnsi="Book Antiqua"/>
                <w:sz w:val="22"/>
              </w:rPr>
              <w:t xml:space="preserve">Blythe </w:t>
            </w:r>
          </w:p>
        </w:tc>
        <w:tc>
          <w:tcPr>
            <w:tcW w:w="296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cs="Book Antiqua"/>
                <w:sz w:val="22"/>
              </w:rPr>
            </w:pPr>
            <w:r>
              <w:rPr>
                <w:rFonts w:cs="Book Antiqua" w:ascii="Book Antiqua" w:hAnsi="Book Antiqua"/>
                <w:sz w:val="22"/>
              </w:rPr>
              <w:t>El Paso</w:t>
            </w:r>
          </w:p>
        </w:tc>
        <w:tc>
          <w:tcPr>
            <w:tcW w:w="173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cs="Book Antiqua"/>
                <w:sz w:val="22"/>
              </w:rPr>
            </w:pPr>
            <w:r>
              <w:rPr>
                <w:rFonts w:cs="Book Antiqua" w:ascii="Book Antiqua" w:hAnsi="Book Antiqua"/>
                <w:sz w:val="22"/>
              </w:rPr>
              <w:t xml:space="preserve">1210 </w:t>
            </w:r>
            <w:r>
              <w:rPr>
                <w:rFonts w:cs="Book Antiqua" w:ascii="Book Antiqua" w:hAnsi="Book Antiqua"/>
                <w:i/>
                <w:sz w:val="22"/>
              </w:rPr>
              <w:t>(1)</w:t>
            </w:r>
          </w:p>
        </w:tc>
      </w:tr>
      <w:tr>
        <w:trPr/>
        <w:tc>
          <w:tcPr>
            <w:tcW w:w="234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rPr>
                <w:rFonts w:ascii="Book Antiqua" w:hAnsi="Book Antiqua" w:cs="Book Antiqua"/>
                <w:sz w:val="22"/>
              </w:rPr>
            </w:pPr>
            <w:r>
              <w:rPr>
                <w:rFonts w:cs="Book Antiqua" w:ascii="Book Antiqua" w:hAnsi="Book Antiqua"/>
                <w:sz w:val="22"/>
              </w:rPr>
              <w:t xml:space="preserve">Topock </w:t>
            </w:r>
          </w:p>
        </w:tc>
        <w:tc>
          <w:tcPr>
            <w:tcW w:w="296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cs="Book Antiqua"/>
                <w:sz w:val="22"/>
              </w:rPr>
            </w:pPr>
            <w:r>
              <w:rPr>
                <w:rFonts w:cs="Book Antiqua" w:ascii="Book Antiqua" w:hAnsi="Book Antiqua"/>
                <w:sz w:val="22"/>
              </w:rPr>
              <w:t>El Paso</w:t>
            </w:r>
          </w:p>
        </w:tc>
        <w:tc>
          <w:tcPr>
            <w:tcW w:w="173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cs="Book Antiqua"/>
                <w:sz w:val="22"/>
              </w:rPr>
            </w:pPr>
            <w:r>
              <w:rPr>
                <w:rFonts w:cs="Book Antiqua" w:ascii="Book Antiqua" w:hAnsi="Book Antiqua"/>
                <w:sz w:val="22"/>
              </w:rPr>
              <w:t xml:space="preserve">540 </w:t>
            </w:r>
            <w:r>
              <w:rPr>
                <w:rFonts w:cs="Book Antiqua" w:ascii="Book Antiqua" w:hAnsi="Book Antiqua"/>
                <w:i/>
                <w:sz w:val="22"/>
              </w:rPr>
              <w:t>(1)</w:t>
            </w:r>
          </w:p>
        </w:tc>
      </w:tr>
      <w:tr>
        <w:trPr/>
        <w:tc>
          <w:tcPr>
            <w:tcW w:w="234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rPr>
                <w:rFonts w:ascii="Book Antiqua" w:hAnsi="Book Antiqua" w:cs="Book Antiqua"/>
                <w:sz w:val="22"/>
              </w:rPr>
            </w:pPr>
            <w:r>
              <w:rPr>
                <w:rFonts w:cs="Book Antiqua" w:ascii="Book Antiqua" w:hAnsi="Book Antiqua"/>
                <w:sz w:val="22"/>
              </w:rPr>
              <w:t xml:space="preserve">North Needles </w:t>
            </w:r>
          </w:p>
        </w:tc>
        <w:tc>
          <w:tcPr>
            <w:tcW w:w="2963" w:type="dxa"/>
            <w:tcBorders>
              <w:top w:val="single" w:sz="6" w:space="0" w:color="000000"/>
              <w:start w:val="single" w:sz="6" w:space="0" w:color="000000"/>
              <w:bottom w:val="single" w:sz="6" w:space="0" w:color="000000"/>
              <w:end w:val="single" w:sz="6" w:space="0" w:color="000000"/>
            </w:tcBorders>
          </w:tcPr>
          <w:p>
            <w:pPr>
              <w:pStyle w:val="Heading7"/>
              <w:ind w:hanging="0" w:start="0"/>
              <w:rPr/>
            </w:pPr>
            <w:r>
              <w:rPr/>
              <w:t>Transwestern</w:t>
            </w:r>
          </w:p>
        </w:tc>
        <w:tc>
          <w:tcPr>
            <w:tcW w:w="173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cs="Book Antiqua"/>
                <w:sz w:val="22"/>
              </w:rPr>
            </w:pPr>
            <w:r>
              <w:rPr>
                <w:rFonts w:cs="Book Antiqua" w:ascii="Book Antiqua" w:hAnsi="Book Antiqua"/>
                <w:sz w:val="22"/>
              </w:rPr>
              <w:t xml:space="preserve">750 </w:t>
            </w:r>
            <w:r>
              <w:rPr>
                <w:rFonts w:cs="Book Antiqua" w:ascii="Book Antiqua" w:hAnsi="Book Antiqua"/>
                <w:i/>
                <w:sz w:val="22"/>
              </w:rPr>
              <w:t>(1)</w:t>
            </w:r>
          </w:p>
        </w:tc>
      </w:tr>
      <w:tr>
        <w:trPr/>
        <w:tc>
          <w:tcPr>
            <w:tcW w:w="234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rPr>
                <w:rFonts w:ascii="Book Antiqua" w:hAnsi="Book Antiqua" w:cs="Book Antiqua"/>
                <w:sz w:val="22"/>
              </w:rPr>
            </w:pPr>
            <w:r>
              <w:rPr>
                <w:rFonts w:cs="Book Antiqua" w:ascii="Book Antiqua" w:hAnsi="Book Antiqua"/>
                <w:sz w:val="22"/>
              </w:rPr>
              <w:t xml:space="preserve">Wheeler Ridge </w:t>
            </w:r>
          </w:p>
        </w:tc>
        <w:tc>
          <w:tcPr>
            <w:tcW w:w="296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jc w:val="center"/>
              <w:rPr>
                <w:rFonts w:ascii="Book Antiqua" w:hAnsi="Book Antiqua" w:cs="Book Antiqua"/>
                <w:sz w:val="22"/>
              </w:rPr>
            </w:pPr>
            <w:r>
              <w:rPr>
                <w:rFonts w:cs="Book Antiqua" w:ascii="Book Antiqua" w:hAnsi="Book Antiqua"/>
                <w:sz w:val="22"/>
              </w:rPr>
              <w:t>PG&amp;E, Oxy, Kern-Mojave</w:t>
            </w:r>
          </w:p>
        </w:tc>
        <w:tc>
          <w:tcPr>
            <w:tcW w:w="173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jc w:val="center"/>
              <w:rPr>
                <w:rFonts w:ascii="Book Antiqua" w:hAnsi="Book Antiqua" w:cs="Book Antiqua"/>
                <w:sz w:val="22"/>
              </w:rPr>
            </w:pPr>
            <w:r>
              <w:rPr>
                <w:rFonts w:cs="Book Antiqua" w:ascii="Book Antiqua" w:hAnsi="Book Antiqua"/>
                <w:sz w:val="22"/>
              </w:rPr>
              <w:t xml:space="preserve">680 </w:t>
            </w:r>
            <w:r>
              <w:rPr>
                <w:rFonts w:cs="Book Antiqua" w:ascii="Book Antiqua" w:hAnsi="Book Antiqua"/>
                <w:i/>
                <w:sz w:val="22"/>
              </w:rPr>
              <w:t>(2)</w:t>
            </w:r>
          </w:p>
        </w:tc>
      </w:tr>
      <w:tr>
        <w:trPr/>
        <w:tc>
          <w:tcPr>
            <w:tcW w:w="234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rPr>
                <w:rFonts w:ascii="Book Antiqua" w:hAnsi="Book Antiqua" w:cs="Book Antiqua"/>
                <w:sz w:val="22"/>
              </w:rPr>
            </w:pPr>
            <w:r>
              <w:rPr>
                <w:rFonts w:cs="Book Antiqua" w:ascii="Book Antiqua" w:hAnsi="Book Antiqua"/>
                <w:sz w:val="22"/>
              </w:rPr>
              <w:t>Hector Road</w:t>
            </w:r>
          </w:p>
        </w:tc>
        <w:tc>
          <w:tcPr>
            <w:tcW w:w="296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cs="Book Antiqua"/>
                <w:sz w:val="22"/>
              </w:rPr>
            </w:pPr>
            <w:r>
              <w:rPr>
                <w:rFonts w:cs="Book Antiqua" w:ascii="Book Antiqua" w:hAnsi="Book Antiqua"/>
                <w:sz w:val="22"/>
              </w:rPr>
              <w:t>Mojave</w:t>
            </w:r>
          </w:p>
        </w:tc>
        <w:tc>
          <w:tcPr>
            <w:tcW w:w="173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cs="Book Antiqua"/>
                <w:sz w:val="22"/>
              </w:rPr>
            </w:pPr>
            <w:r>
              <w:rPr>
                <w:rFonts w:cs="Book Antiqua" w:ascii="Book Antiqua" w:hAnsi="Book Antiqua"/>
                <w:sz w:val="22"/>
              </w:rPr>
              <w:t>50</w:t>
            </w:r>
          </w:p>
        </w:tc>
      </w:tr>
      <w:tr>
        <w:trPr/>
        <w:tc>
          <w:tcPr>
            <w:tcW w:w="2347" w:type="dxa"/>
            <w:tcBorders>
              <w:top w:val="single" w:sz="6" w:space="0" w:color="000000"/>
              <w:start w:val="single" w:sz="6" w:space="0" w:color="000000"/>
              <w:bottom w:val="single" w:sz="6" w:space="0" w:color="000000"/>
              <w:end w:val="single" w:sz="6" w:space="0" w:color="000000"/>
            </w:tcBorders>
          </w:tcPr>
          <w:p>
            <w:pPr>
              <w:pStyle w:val="BodyText"/>
              <w:tabs>
                <w:tab w:val="clear" w:pos="720"/>
                <w:tab w:val="left" w:pos="360" w:leader="none"/>
              </w:tabs>
              <w:spacing w:lineRule="auto" w:line="240"/>
              <w:rPr>
                <w:sz w:val="22"/>
              </w:rPr>
            </w:pPr>
            <w:r>
              <w:rPr>
                <w:sz w:val="22"/>
              </w:rPr>
              <w:t>California Line85</w:t>
            </w:r>
          </w:p>
          <w:p>
            <w:pPr>
              <w:pStyle w:val="BodyText"/>
              <w:tabs>
                <w:tab w:val="clear" w:pos="720"/>
                <w:tab w:val="left" w:pos="360" w:leader="none"/>
              </w:tabs>
              <w:spacing w:lineRule="auto" w:line="240"/>
              <w:rPr>
                <w:sz w:val="22"/>
              </w:rPr>
            </w:pPr>
            <w:r>
              <w:rPr>
                <w:sz w:val="22"/>
              </w:rPr>
            </w:r>
          </w:p>
        </w:tc>
        <w:tc>
          <w:tcPr>
            <w:tcW w:w="296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jc w:val="center"/>
              <w:rPr>
                <w:rFonts w:ascii="Book Antiqua" w:hAnsi="Book Antiqua" w:cs="Book Antiqua"/>
                <w:sz w:val="22"/>
              </w:rPr>
            </w:pPr>
            <w:r>
              <w:rPr>
                <w:rFonts w:cs="Book Antiqua" w:ascii="Book Antiqua" w:hAnsi="Book Antiqua"/>
                <w:sz w:val="22"/>
              </w:rPr>
              <w:t>Various Calif. Producers</w:t>
            </w:r>
          </w:p>
        </w:tc>
        <w:tc>
          <w:tcPr>
            <w:tcW w:w="173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cs="Book Antiqua"/>
                <w:sz w:val="22"/>
              </w:rPr>
            </w:pPr>
            <w:r>
              <w:rPr>
                <w:rFonts w:cs="Book Antiqua" w:ascii="Book Antiqua" w:hAnsi="Book Antiqua"/>
                <w:sz w:val="22"/>
              </w:rPr>
              <w:t xml:space="preserve">150 </w:t>
            </w:r>
            <w:r>
              <w:rPr>
                <w:rFonts w:cs="Book Antiqua" w:ascii="Book Antiqua" w:hAnsi="Book Antiqua"/>
                <w:i/>
                <w:sz w:val="22"/>
              </w:rPr>
              <w:t>(3)</w:t>
            </w:r>
          </w:p>
        </w:tc>
      </w:tr>
      <w:tr>
        <w:trPr/>
        <w:tc>
          <w:tcPr>
            <w:tcW w:w="2347" w:type="dxa"/>
            <w:tcBorders>
              <w:top w:val="single" w:sz="6" w:space="0" w:color="000000"/>
              <w:start w:val="single" w:sz="6" w:space="0" w:color="000000"/>
              <w:bottom w:val="single" w:sz="6" w:space="0" w:color="000000"/>
              <w:end w:val="single" w:sz="6" w:space="0" w:color="000000"/>
            </w:tcBorders>
          </w:tcPr>
          <w:p>
            <w:pPr>
              <w:pStyle w:val="BodyText"/>
              <w:tabs>
                <w:tab w:val="clear" w:pos="720"/>
                <w:tab w:val="left" w:pos="360" w:leader="none"/>
              </w:tabs>
              <w:spacing w:lineRule="auto" w:line="240"/>
              <w:rPr>
                <w:sz w:val="22"/>
              </w:rPr>
            </w:pPr>
            <w:r>
              <w:rPr>
                <w:sz w:val="22"/>
              </w:rPr>
              <w:t>North Coastal</w:t>
            </w:r>
          </w:p>
        </w:tc>
        <w:tc>
          <w:tcPr>
            <w:tcW w:w="296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jc w:val="center"/>
              <w:rPr>
                <w:rFonts w:ascii="Book Antiqua" w:hAnsi="Book Antiqua" w:cs="Book Antiqua"/>
                <w:sz w:val="22"/>
              </w:rPr>
            </w:pPr>
            <w:r>
              <w:rPr>
                <w:rFonts w:cs="Book Antiqua" w:ascii="Book Antiqua" w:hAnsi="Book Antiqua"/>
                <w:sz w:val="22"/>
              </w:rPr>
              <w:t>Various Calif. Producers</w:t>
            </w:r>
          </w:p>
        </w:tc>
        <w:tc>
          <w:tcPr>
            <w:tcW w:w="173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pPr>
            <w:r>
              <w:rPr>
                <w:rFonts w:cs="Book Antiqua" w:ascii="Book Antiqua" w:hAnsi="Book Antiqua"/>
                <w:sz w:val="22"/>
              </w:rPr>
              <w:t xml:space="preserve">120 </w:t>
            </w:r>
            <w:r>
              <w:rPr>
                <w:rFonts w:cs="Book Antiqua" w:ascii="Book Antiqua" w:hAnsi="Book Antiqua"/>
                <w:i/>
                <w:sz w:val="22"/>
              </w:rPr>
              <w:t>(3)</w:t>
            </w:r>
            <w:r>
              <w:rPr>
                <w:rFonts w:cs="Book Antiqua" w:ascii="Book Antiqua" w:hAnsi="Book Antiqua"/>
                <w:sz w:val="22"/>
              </w:rPr>
              <w:t xml:space="preserve"> </w:t>
            </w:r>
          </w:p>
        </w:tc>
      </w:tr>
      <w:tr>
        <w:trPr/>
        <w:tc>
          <w:tcPr>
            <w:tcW w:w="234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rPr>
                <w:rFonts w:ascii="Book Antiqua" w:hAnsi="Book Antiqua" w:cs="Book Antiqua"/>
                <w:b/>
                <w:sz w:val="22"/>
              </w:rPr>
            </w:pPr>
            <w:r>
              <w:rPr>
                <w:rFonts w:cs="Book Antiqua" w:ascii="Book Antiqua" w:hAnsi="Book Antiqua"/>
                <w:b/>
                <w:sz w:val="22"/>
              </w:rPr>
              <w:t>Total</w:t>
            </w:r>
          </w:p>
        </w:tc>
        <w:tc>
          <w:tcPr>
            <w:tcW w:w="296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napToGrid w:val="false"/>
              <w:spacing w:lineRule="auto" w:line="360"/>
              <w:jc w:val="center"/>
              <w:rPr>
                <w:rFonts w:ascii="Book Antiqua" w:hAnsi="Book Antiqua" w:cs="Book Antiqua"/>
                <w:b/>
                <w:sz w:val="22"/>
              </w:rPr>
            </w:pPr>
            <w:r>
              <w:rPr>
                <w:rFonts w:cs="Book Antiqua" w:ascii="Book Antiqua" w:hAnsi="Book Antiqua"/>
                <w:b/>
                <w:sz w:val="22"/>
              </w:rPr>
            </w:r>
          </w:p>
        </w:tc>
        <w:tc>
          <w:tcPr>
            <w:tcW w:w="173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cs="Book Antiqua"/>
                <w:b/>
                <w:sz w:val="22"/>
              </w:rPr>
            </w:pPr>
            <w:r>
              <w:rPr>
                <w:rFonts w:cs="Book Antiqua" w:ascii="Book Antiqua" w:hAnsi="Book Antiqua"/>
                <w:b/>
                <w:sz w:val="22"/>
              </w:rPr>
              <w:t>3500</w:t>
            </w:r>
          </w:p>
        </w:tc>
      </w:tr>
    </w:tbl>
    <w:p>
      <w:pPr>
        <w:pStyle w:val="BodyText"/>
        <w:numPr>
          <w:ilvl w:val="0"/>
          <w:numId w:val="2"/>
        </w:numPr>
        <w:spacing w:lineRule="auto" w:line="240"/>
        <w:rPr>
          <w:i/>
          <w:i/>
          <w:sz w:val="20"/>
        </w:rPr>
      </w:pPr>
      <w:r>
        <w:rPr>
          <w:i/>
          <w:sz w:val="20"/>
        </w:rPr>
        <w:t>Based on FERC-certificated firm capacity of interconnecting pipe.</w:t>
      </w:r>
    </w:p>
    <w:p>
      <w:pPr>
        <w:pStyle w:val="BodyText"/>
        <w:numPr>
          <w:ilvl w:val="0"/>
          <w:numId w:val="2"/>
        </w:numPr>
        <w:spacing w:lineRule="auto" w:line="240"/>
        <w:rPr>
          <w:i/>
          <w:i/>
          <w:sz w:val="20"/>
        </w:rPr>
      </w:pPr>
      <w:r>
        <w:rPr>
          <w:i/>
          <w:sz w:val="20"/>
        </w:rPr>
        <w:t>Assumes 650 psi from Kern/Mojave and PG&amp;E pipelines.</w:t>
      </w:r>
    </w:p>
    <w:p>
      <w:pPr>
        <w:pStyle w:val="BodyText"/>
        <w:numPr>
          <w:ilvl w:val="0"/>
          <w:numId w:val="2"/>
        </w:numPr>
        <w:spacing w:lineRule="auto" w:line="240"/>
        <w:rPr>
          <w:i/>
          <w:i/>
          <w:sz w:val="20"/>
        </w:rPr>
      </w:pPr>
      <w:r>
        <w:rPr>
          <w:i/>
          <w:sz w:val="20"/>
        </w:rPr>
        <w:t>Based on low local demand in summer periods.</w:t>
      </w:r>
    </w:p>
    <w:p>
      <w:pPr>
        <w:pStyle w:val="BodyText"/>
        <w:spacing w:lineRule="auto" w:line="240"/>
        <w:rPr>
          <w:i/>
          <w:i/>
          <w:sz w:val="20"/>
        </w:rPr>
      </w:pPr>
      <w:r>
        <w:rPr>
          <w:i/>
          <w:sz w:val="20"/>
        </w:rPr>
      </w:r>
    </w:p>
    <w:p>
      <w:pPr>
        <w:pStyle w:val="BlockText"/>
        <w:tabs>
          <w:tab w:val="clear" w:pos="360"/>
        </w:tabs>
        <w:ind w:hanging="0" w:start="0" w:end="-360"/>
        <w:rPr>
          <w:rFonts w:ascii="Book Antiqua" w:hAnsi="Book Antiqua" w:cs="Book Antiqua"/>
        </w:rPr>
      </w:pPr>
      <w:r>
        <w:rPr>
          <w:rFonts w:cs="Book Antiqua" w:ascii="Book Antiqua" w:hAnsi="Book Antiqua"/>
        </w:rPr>
        <w:t xml:space="preserve">The Backbone Transmission system (described in more detail in Attachment 1) includes those transmission facilities (including all compressor stations) whose primary purpose is receiving gas from supply points and transporting it to major load centers on the local transmission system or to underground storage facilities.  Firm Backbone Transmission rights will entitle the holder to move daily volumes, up the their capacity rights, from the receipt point to any delivery point on the SoCalGas system.  Delivery points are defined as the local transmission system, storage, receipt point pools, and the city gate pool.  All market participants, including end-use customers, ESP’s, CTA’s, producers, interstate pipelines, interstate shippers and wholesale customers are eligible to acquire firm intrastate transmission rights on the SoCalGas system.  Significant diversion charges will be applied to any customer who diverts the supply of another customer on this backbone system.  </w:t>
      </w:r>
    </w:p>
    <w:p>
      <w:pPr>
        <w:pStyle w:val="BlockText"/>
        <w:tabs>
          <w:tab w:val="clear" w:pos="360"/>
        </w:tabs>
        <w:ind w:hanging="0" w:start="0" w:end="-360"/>
        <w:rPr>
          <w:rFonts w:ascii="Book Antiqua" w:hAnsi="Book Antiqua" w:cs="Book Antiqua"/>
        </w:rPr>
      </w:pPr>
      <w:r>
        <w:rPr>
          <w:rFonts w:cs="Book Antiqua" w:ascii="Book Antiqua" w:hAnsi="Book Antiqua"/>
        </w:rPr>
      </w:r>
    </w:p>
    <w:p>
      <w:pPr>
        <w:pStyle w:val="BlockText"/>
        <w:tabs>
          <w:tab w:val="clear" w:pos="360"/>
        </w:tabs>
        <w:ind w:hanging="0" w:start="0" w:end="-360"/>
        <w:rPr>
          <w:rFonts w:ascii="Book Antiqua" w:hAnsi="Book Antiqua" w:cs="Book Antiqua"/>
        </w:rPr>
      </w:pPr>
      <w:r>
        <w:rPr>
          <w:rFonts w:cs="Book Antiqua" w:ascii="Book Antiqua" w:hAnsi="Book Antiqua"/>
        </w:rPr>
        <w:t>The Local Transmission system includes the transmission facilities whose primary purpose is to deliver gas from the Backbone Transmission system to end-use customers or into SoCalGas’ distribution systems. Local Transmission user facilities are not to access and deliver gas supplies from receipt points.  This Backbone/Local Transmission structure is identical of that employed in Northern California and will enhance statewide consistency in the restructuring of the gas industry within California.</w:t>
      </w:r>
    </w:p>
    <w:p>
      <w:pPr>
        <w:pStyle w:val="BlockText"/>
        <w:tabs>
          <w:tab w:val="clear" w:pos="360"/>
        </w:tabs>
        <w:ind w:hanging="0" w:start="0" w:end="-360"/>
        <w:rPr>
          <w:rFonts w:ascii="Book Antiqua" w:hAnsi="Book Antiqua" w:cs="Book Antiqua"/>
        </w:rPr>
      </w:pPr>
      <w:r>
        <w:rPr>
          <w:rFonts w:cs="Book Antiqua" w:ascii="Book Antiqua" w:hAnsi="Book Antiqua"/>
        </w:rPr>
      </w:r>
    </w:p>
    <w:p>
      <w:pPr>
        <w:pStyle w:val="BodyText"/>
        <w:rPr/>
      </w:pPr>
      <w:r>
        <w:rPr/>
        <w:t>Based on the existing 1998 classification of facilities between transmission and distribution, the embedded cost of the total transmission system as of year-end 1998 was determined to be $138.0 MM.  This calculation is shown in Exhibit 1.  The 1998 total embedded transmission cost of the Backbone Transmission system was determined to be $73.7 MM.  The remaining $64.3 MM of transmission costs are considered to be Local Transmission.  See Exhibit 2 for the derivation of these costs.  A diagram of the SoCalGas backbone and local transmission system is shown in Exhibit 3.  A complete listing of the transmission pipelines and compressor stations that are part of the backbone system are shown in Exhibit 4.</w:t>
      </w:r>
    </w:p>
    <w:p>
      <w:pPr>
        <w:pStyle w:val="BodyText"/>
        <w:rPr/>
      </w:pPr>
      <w:r>
        <w:rPr/>
      </w:r>
    </w:p>
    <w:p>
      <w:pPr>
        <w:pStyle w:val="Normal"/>
        <w:rPr>
          <w:rFonts w:ascii="Book Antiqua" w:hAnsi="Book Antiqua" w:cs="Book Antiqua"/>
          <w:sz w:val="24"/>
        </w:rPr>
      </w:pPr>
      <w:r>
        <w:rPr>
          <w:rFonts w:cs="Book Antiqua" w:ascii="Book Antiqua" w:hAnsi="Book Antiqua"/>
          <w:sz w:val="24"/>
        </w:rPr>
        <w:t xml:space="preserve">Both Backbone and Local Transmission costs will remain fixed over the term of the settlement and only escalate by the then-current PBR formula (inflation – productivity + meter growth).  This will provide more rate certainty to all customers </w:t>
      </w:r>
    </w:p>
    <w:p>
      <w:pPr>
        <w:pStyle w:val="Normal"/>
        <w:rPr>
          <w:rFonts w:ascii="Book Antiqua" w:hAnsi="Book Antiqua" w:cs="Book Antiqua"/>
          <w:sz w:val="24"/>
        </w:rPr>
      </w:pPr>
      <w:r>
        <w:rPr>
          <w:rFonts w:cs="Book Antiqua" w:ascii="Book Antiqua" w:hAnsi="Book Antiqua"/>
          <w:sz w:val="24"/>
        </w:rPr>
      </w:r>
    </w:p>
    <w:p>
      <w:pPr>
        <w:pStyle w:val="Normal"/>
        <w:rPr>
          <w:rFonts w:ascii="Book Antiqua" w:hAnsi="Book Antiqua" w:cs="Book Antiqua"/>
          <w:sz w:val="24"/>
        </w:rPr>
      </w:pPr>
      <w:r>
        <w:rPr>
          <w:rFonts w:cs="Book Antiqua" w:ascii="Book Antiqua" w:hAnsi="Book Antiqua"/>
          <w:sz w:val="24"/>
        </w:rPr>
        <w:t>The creation of firm Backbone Transmission rights will improve the certainty of delivering gas to the SoCalGas system, encourage competition and efficiency in the use of SoCalGas system, provide parties multiple opportunities to choose desired receipt points while preserving the value of SoCalGas’ network system.  Comprehensive Settlement Agreement provides rights consistent with those available in N. California, while recognizing that SoCalGas’ transmission system is organized in a matrix or network fashion.</w:t>
      </w:r>
    </w:p>
    <w:p>
      <w:pPr>
        <w:pStyle w:val="Heading5"/>
        <w:ind w:hanging="0" w:start="0"/>
        <w:rPr>
          <w:rFonts w:ascii="Book Antiqua" w:hAnsi="Book Antiqua" w:cs="Book Antiqua"/>
          <w:sz w:val="24"/>
        </w:rPr>
      </w:pPr>
      <w:r>
        <w:rPr>
          <w:rFonts w:cs="Book Antiqua"/>
          <w:sz w:val="24"/>
        </w:rPr>
      </w:r>
    </w:p>
    <w:p>
      <w:pPr>
        <w:pStyle w:val="Heading5"/>
        <w:numPr>
          <w:ilvl w:val="0"/>
          <w:numId w:val="3"/>
        </w:numPr>
        <w:rPr/>
      </w:pPr>
      <w:r>
        <w:rPr/>
        <w:t xml:space="preserve">Tradable Intrastate Transmission Rights Secondary Market  </w:t>
      </w:r>
      <w:r>
        <w:rPr>
          <w:i/>
          <w:u w:val="none"/>
        </w:rPr>
        <w:t>Section 1.2</w:t>
      </w:r>
    </w:p>
    <w:p>
      <w:pPr>
        <w:pStyle w:val="BodyText"/>
        <w:rPr>
          <w:b/>
        </w:rPr>
      </w:pPr>
      <w:r>
        <w:rPr/>
        <w:t>The holder of firm intrastate Backbone Transmission rights will be able to fully trade those rights through a secondary market.  SoCalGas will create an electronic mechanism for parties to post and trade firm intrastate Backbone Transmission rights.  The secondary market will be voluntary and contain no price or term restrictions.  The existence of a secondary market is important to the creation of market efficiency and cost minimization.  The secondary market provides the mechanism for parties to release capacity during periods when it is not needed, or acquire capacity on those peak periods when it is needed.  Secondary markets diminish any market power that the SoCalGas transmission system has because they allow the holders of primary firm rights to compete directly with SoCalGas sales of transmission capacity.  Some parties may choose not to acquire firm intrastate Backbone Transmission rights through the open season process and instead rely partially or exclusively on the purchases firm Backbone Transmission rights through the secondary market or alternatively, purchase gas supplies at the Los Angeles Citygate that will include the value of intrastate Backbone Transmission service.</w:t>
      </w:r>
    </w:p>
    <w:p>
      <w:pPr>
        <w:pStyle w:val="Normal"/>
        <w:rPr>
          <w:rFonts w:ascii="Book Antiqua" w:hAnsi="Book Antiqua" w:cs="Book Antiqua"/>
          <w:b/>
          <w:sz w:val="24"/>
        </w:rPr>
      </w:pPr>
      <w:r>
        <w:rPr>
          <w:rFonts w:cs="Book Antiqua" w:ascii="Book Antiqua" w:hAnsi="Book Antiqua"/>
          <w:b/>
          <w:sz w:val="24"/>
        </w:rPr>
      </w:r>
    </w:p>
    <w:p>
      <w:pPr>
        <w:pStyle w:val="Normal"/>
        <w:rPr/>
      </w:pPr>
      <w:r>
        <w:rPr>
          <w:rFonts w:cs="Book Antiqua" w:ascii="Book Antiqua" w:hAnsi="Book Antiqua"/>
          <w:sz w:val="24"/>
          <w:u w:val="single"/>
        </w:rPr>
        <w:t xml:space="preserve">3. SoCalGas is At-risk for Unused Backbone Transmission Capacity </w:t>
      </w:r>
      <w:r>
        <w:rPr>
          <w:rFonts w:cs="Book Antiqua" w:ascii="Book Antiqua" w:hAnsi="Book Antiqua"/>
          <w:i/>
          <w:sz w:val="24"/>
        </w:rPr>
        <w:t>Section 1.3</w:t>
      </w:r>
    </w:p>
    <w:p>
      <w:pPr>
        <w:pStyle w:val="BodyText"/>
        <w:rPr/>
      </w:pPr>
      <w:r>
        <w:rPr/>
        <w:t>As in PG&amp;E’s Gas Accord, SoCalGas is placed fully at-risk after October 2001 for the recovery of its $73.7 million/year of intrastate backbone transmission capacity.  This structure will properly incent SoCalGas to aggressively market its transmission capacity and will ensure that any discounts on Backbone Transmission capacity that SoCalGas provides to compete against alternatives will be not be subsidized by its ratepayers.</w:t>
      </w:r>
    </w:p>
    <w:p>
      <w:pPr>
        <w:pStyle w:val="Normal"/>
        <w:rPr>
          <w:rFonts w:ascii="Book Antiqua" w:hAnsi="Book Antiqua" w:cs="Book Antiqua"/>
          <w:sz w:val="24"/>
          <w:u w:val="single"/>
        </w:rPr>
      </w:pPr>
      <w:r>
        <w:rPr>
          <w:rFonts w:cs="Book Antiqua" w:ascii="Book Antiqua" w:hAnsi="Book Antiqua"/>
          <w:sz w:val="24"/>
          <w:u w:val="single"/>
        </w:rPr>
      </w:r>
    </w:p>
    <w:p>
      <w:pPr>
        <w:pStyle w:val="Heading5"/>
        <w:ind w:hanging="0" w:start="0"/>
        <w:rPr>
          <w:i/>
          <w:i/>
        </w:rPr>
      </w:pPr>
      <w:r>
        <w:rPr/>
        <w:t xml:space="preserve">4.  Clear Procedures For Awarding Intrastate Transmission Rights  </w:t>
      </w:r>
      <w:r>
        <w:rPr>
          <w:i/>
          <w:u w:val="none"/>
        </w:rPr>
        <w:t>Section 1.1</w:t>
      </w:r>
    </w:p>
    <w:p>
      <w:pPr>
        <w:pStyle w:val="Normal"/>
        <w:rPr>
          <w:rFonts w:ascii="Book Antiqua" w:hAnsi="Book Antiqua" w:cs="Book Antiqua"/>
          <w:sz w:val="24"/>
        </w:rPr>
      </w:pPr>
      <w:r>
        <w:rPr>
          <w:rFonts w:cs="Book Antiqua" w:ascii="Book Antiqua" w:hAnsi="Book Antiqua"/>
          <w:sz w:val="24"/>
        </w:rPr>
        <w:t>In recognition of the existing long-term interstate pipeline capacity reservations on behalf of retail core customers, intrastate Backbone Transmission capacity at certain receipt points is reserved for retail core use.  The retail core is initially reserved 1000 MMcfd of firm intrastate Backbone Transmission rights consisting of 300 MMcfd at N. Needles, 290 MMcfd at Topock, 340 MMcfd at Blythe and 70 MMcfd on N. Coastal.  This 1,000 MMcfd of intrastate Backbone Transmission reservation is somewhat less than the 1044 MMcfd of interstate capacity reservations provided by the 1999 BCAP (D._______), thus reducing costs for core customers while providing additional flexibility to purchase supplies, if needed, at the city gate, rather than in the supply basins.  The initial retail core Backbone Transmission reservation also recognizes that a portion of existing core market on the SoCalGas system is currently served by ESP’s and CTA’s, and assumes a further growth to a 10% market share.  Should CTA market share exceed 10% in subsequent years, the retail core will further reduce their firm intrastate Backbone Transmission capacity reservations proportionally.</w:t>
      </w:r>
    </w:p>
    <w:p>
      <w:pPr>
        <w:pStyle w:val="Normal"/>
        <w:rPr>
          <w:rFonts w:ascii="Book Antiqua" w:hAnsi="Book Antiqua" w:cs="Book Antiqua"/>
          <w:sz w:val="24"/>
        </w:rPr>
      </w:pPr>
      <w:r>
        <w:rPr>
          <w:rFonts w:cs="Book Antiqua" w:ascii="Book Antiqua" w:hAnsi="Book Antiqua"/>
          <w:sz w:val="24"/>
        </w:rPr>
      </w:r>
    </w:p>
    <w:p>
      <w:pPr>
        <w:pStyle w:val="Normal"/>
        <w:rPr>
          <w:rFonts w:ascii="Book Antiqua" w:hAnsi="Book Antiqua" w:cs="Book Antiqua"/>
          <w:sz w:val="24"/>
        </w:rPr>
      </w:pPr>
      <w:r>
        <w:rPr>
          <w:rFonts w:cs="Book Antiqua" w:ascii="Book Antiqua" w:hAnsi="Book Antiqua"/>
          <w:sz w:val="24"/>
        </w:rPr>
        <w:t>Wholesale customers on the SoCalGas system have three options for obtaining firm intrastate Backbone Transmission reservations on behalf of their core customers.  First, they can obtain a reservation at any point to match an existing long-term (greater than 5 years) upstream interstate pipeline commitments.  Second, if they have no existing interstate commitments, they can elect to be provided a reservation proportionate to SoCalGas’ retail core, at the same retail core receipt points.  Third, they can participate in the open seasons.</w:t>
      </w:r>
    </w:p>
    <w:p>
      <w:pPr>
        <w:pStyle w:val="Normal"/>
        <w:rPr>
          <w:rFonts w:ascii="Book Antiqua" w:hAnsi="Book Antiqua" w:cs="Book Antiqua"/>
          <w:sz w:val="24"/>
        </w:rPr>
      </w:pPr>
      <w:r>
        <w:rPr>
          <w:rFonts w:cs="Book Antiqua" w:ascii="Book Antiqua" w:hAnsi="Book Antiqua"/>
          <w:sz w:val="24"/>
        </w:rPr>
      </w:r>
    </w:p>
    <w:p>
      <w:pPr>
        <w:pStyle w:val="Normal"/>
        <w:rPr>
          <w:rFonts w:ascii="Book Antiqua" w:hAnsi="Book Antiqua" w:cs="Book Antiqua"/>
          <w:sz w:val="24"/>
        </w:rPr>
      </w:pPr>
      <w:r>
        <w:rPr>
          <w:rFonts w:cs="Book Antiqua" w:ascii="Book Antiqua" w:hAnsi="Book Antiqua"/>
          <w:sz w:val="24"/>
        </w:rPr>
        <w:t>Some noncore customers have existing long-term contracts (LTKs) for service that can require deliveries at specific receipt points.  Such customers are also provided the option to elect a firm intrastate Backbone Transmission reservation at these specific receipt points in order to preserve the benefits of these existing long-term contracts.  Local California producers will have an opportunity to obtain firm capacity to match their historical deliveries prior to the open seasons.</w:t>
      </w:r>
    </w:p>
    <w:p>
      <w:pPr>
        <w:pStyle w:val="Normal"/>
        <w:rPr>
          <w:rFonts w:ascii="Book Antiqua" w:hAnsi="Book Antiqua" w:cs="Book Antiqua"/>
          <w:sz w:val="24"/>
        </w:rPr>
      </w:pPr>
      <w:r>
        <w:rPr>
          <w:rFonts w:cs="Book Antiqua" w:ascii="Book Antiqua" w:hAnsi="Book Antiqua"/>
          <w:sz w:val="24"/>
        </w:rPr>
      </w:r>
    </w:p>
    <w:p>
      <w:pPr>
        <w:pStyle w:val="Normal"/>
        <w:rPr>
          <w:rFonts w:ascii="Book Antiqua" w:hAnsi="Book Antiqua" w:cs="Book Antiqua"/>
          <w:sz w:val="24"/>
        </w:rPr>
      </w:pPr>
      <w:r>
        <w:rPr>
          <w:rFonts w:cs="Book Antiqua" w:ascii="Book Antiqua" w:hAnsi="Book Antiqua"/>
          <w:sz w:val="24"/>
        </w:rPr>
        <w:t>All remaining firm intrastate Backbone Transmission rights will be available through a 3-stage open season process.  In the first 2 stages, only end-use customers (including noncore, wholesale not electing a reservation, CTA’s and ESP’s on behalf of end-use customers) may participate by subscribing up to 100% of their historic annual usage (adjusted for seasonal load variation) with a limit at each receipt point of a maximum of 50% of the remaining capacity.  These first two stages of the open season should allay end-use customer concerns about competing against marketers for the capacity they need to meet their historic consumption.</w:t>
      </w:r>
    </w:p>
    <w:p>
      <w:pPr>
        <w:pStyle w:val="Normal"/>
        <w:rPr>
          <w:rFonts w:ascii="Book Antiqua" w:hAnsi="Book Antiqua" w:cs="Book Antiqua"/>
          <w:sz w:val="24"/>
        </w:rPr>
      </w:pPr>
      <w:r>
        <w:rPr>
          <w:rFonts w:cs="Book Antiqua" w:ascii="Book Antiqua" w:hAnsi="Book Antiqua"/>
          <w:sz w:val="24"/>
        </w:rPr>
      </w:r>
    </w:p>
    <w:p>
      <w:pPr>
        <w:pStyle w:val="Normal"/>
        <w:rPr/>
      </w:pPr>
      <w:r>
        <w:rPr>
          <w:rFonts w:cs="Book Antiqua" w:ascii="Book Antiqua" w:hAnsi="Book Antiqua"/>
          <w:sz w:val="24"/>
        </w:rPr>
        <w:t>In the 3</w:t>
      </w:r>
      <w:r>
        <w:rPr>
          <w:rFonts w:cs="Book Antiqua" w:ascii="Book Antiqua" w:hAnsi="Book Antiqua"/>
          <w:sz w:val="24"/>
          <w:vertAlign w:val="superscript"/>
        </w:rPr>
        <w:t>rd</w:t>
      </w:r>
      <w:r>
        <w:rPr>
          <w:rFonts w:cs="Book Antiqua" w:ascii="Book Antiqua" w:hAnsi="Book Antiqua"/>
          <w:sz w:val="24"/>
        </w:rPr>
        <w:t xml:space="preserve"> stage, any creditworthy party may participate and subscribe for capacity.  Capacity in the open season process will be awarded based exclusively on the length of term bid, with preference for the longer term.  The maximum term bid will be for the full term of the settlement period, (i.e., until August 31, 2006), and pro-rating in the event of oversubscription will also be based on term.  A minimum of 20% of the total capacity available in the open season process may not be awarded for terms that exceed one year.  This provision ensures the continuing availability of short-term firm Backbone Transmission capacity and preserves capacity for new customer growth.  Market concentration limits will assure that no single marketer is able to corner capacity in an uncompetitive fashion.</w:t>
      </w:r>
    </w:p>
    <w:p>
      <w:pPr>
        <w:pStyle w:val="Normal"/>
        <w:rPr>
          <w:rFonts w:ascii="Book Antiqua" w:hAnsi="Book Antiqua" w:cs="Book Antiqua"/>
          <w:sz w:val="24"/>
        </w:rPr>
      </w:pPr>
      <w:r>
        <w:rPr>
          <w:rFonts w:cs="Book Antiqua" w:ascii="Book Antiqua" w:hAnsi="Book Antiqua"/>
          <w:sz w:val="24"/>
        </w:rPr>
      </w:r>
    </w:p>
    <w:p>
      <w:pPr>
        <w:pStyle w:val="Normal"/>
        <w:rPr>
          <w:rFonts w:ascii="Book Antiqua" w:hAnsi="Book Antiqua" w:cs="Book Antiqua"/>
          <w:sz w:val="24"/>
        </w:rPr>
      </w:pPr>
      <w:r>
        <w:rPr>
          <w:rFonts w:cs="Book Antiqua" w:ascii="Book Antiqua" w:hAnsi="Book Antiqua"/>
          <w:sz w:val="24"/>
        </w:rPr>
        <w:t>The demand charge rate for unbundled firm intrastate Backbone Transmission capacity will be a uniform $0.072/Decatherm (Dth) for all capacity at any receipt point.  This “postage stamp” demand charge rate is derived from the 3500 MMcfd of firm intrastate Backbone Transmission capacity, the $73.7 million embedded cost of the Backbone Transmission system and an agreed upon 79% system load factor.  The 79% system load factor is somewhat higher than the 77% load factor implied by the 1999 adopted BCAP throughput of 983 Bcf.  The higher system load factor is appropriate because it reflects the core’s requirement to purchase fuel and lost and unaccounted for throughput.  It also increases SoCalGas’ incentive to aggressively market any unsubscribed firm Backbone Transmission or undelivered capacity.</w:t>
      </w:r>
    </w:p>
    <w:p>
      <w:pPr>
        <w:pStyle w:val="Normal"/>
        <w:rPr>
          <w:rFonts w:ascii="Book Antiqua" w:hAnsi="Book Antiqua" w:cs="Book Antiqua"/>
          <w:sz w:val="24"/>
        </w:rPr>
      </w:pPr>
      <w:r>
        <w:rPr>
          <w:rFonts w:cs="Book Antiqua" w:ascii="Book Antiqua" w:hAnsi="Book Antiqua"/>
          <w:sz w:val="24"/>
        </w:rPr>
      </w:r>
    </w:p>
    <w:p>
      <w:pPr>
        <w:pStyle w:val="Normal"/>
        <w:rPr>
          <w:rFonts w:ascii="Book Antiqua" w:hAnsi="Book Antiqua" w:cs="Book Antiqua"/>
          <w:sz w:val="24"/>
        </w:rPr>
      </w:pPr>
      <w:r>
        <w:rPr>
          <w:rFonts w:cs="Book Antiqua" w:ascii="Book Antiqua" w:hAnsi="Book Antiqua"/>
          <w:sz w:val="24"/>
        </w:rPr>
        <w:t>Parties who subscribe for firm Backbone Transmission capacity may also choose an alternative rate to the postage stamp 100% and charge rate.  The alterantive rate will consists of a demand charge of $0.038/Dth and a volumetric rate of $0.38/Dth (a 50/50 demand/volumetric rate).  The choice of rate is entirely at the subscribing parties’ election and can be for any portion of the subscribed capacity at any receipt point.  In evaluating the open season requests, no preference will be given to either rate election.  The choice of two rates and rate designs provides options for customers with differing load profiles, and ability or willingness to participate in the secondary market and should meet the needs of low load factor customers, such as electric generators.</w:t>
      </w:r>
    </w:p>
    <w:p>
      <w:pPr>
        <w:pStyle w:val="Normal"/>
        <w:rPr>
          <w:rFonts w:ascii="Book Antiqua" w:hAnsi="Book Antiqua" w:cs="Book Antiqua"/>
          <w:sz w:val="24"/>
        </w:rPr>
      </w:pPr>
      <w:r>
        <w:rPr>
          <w:rFonts w:cs="Book Antiqua" w:ascii="Book Antiqua" w:hAnsi="Book Antiqua"/>
          <w:sz w:val="24"/>
        </w:rPr>
      </w:r>
    </w:p>
    <w:p>
      <w:pPr>
        <w:pStyle w:val="Normal"/>
        <w:rPr>
          <w:rFonts w:ascii="Book Antiqua" w:hAnsi="Book Antiqua" w:cs="Book Antiqua"/>
          <w:sz w:val="24"/>
        </w:rPr>
      </w:pPr>
      <w:r>
        <w:rPr>
          <w:rFonts w:cs="Book Antiqua" w:ascii="Book Antiqua" w:hAnsi="Book Antiqua"/>
          <w:sz w:val="24"/>
        </w:rPr>
        <w:t>The slight premium for the 50/50 demand/volumetric rate option is appropriate due to the increased risk of cost recovery SoCalGas will face for those electing this rate option. Firm intrastate Backbone Transmission capacity not subscribed through the open season process will be available for subscription by SoCalGas at a negotiated price up to 120% of the “postage stamp” firm rate.  Any such capacity that is subscribed will be firm and equal in priority to any other subscribed firm capacity.  Also, any Backbone Transmission capacity above the stated receipt point firm capacity that may be available from time to time, or any subscribed firm backbone capacity that is not being fully utilized, will be available from SoCalGas, at a negotiated price up to 120% of the “postage stamp” firm rate. Such capacity will be interruptible and subject to bumping by the firm capacity holder.</w:t>
      </w:r>
    </w:p>
    <w:p>
      <w:pPr>
        <w:pStyle w:val="Heading5"/>
        <w:ind w:hanging="0" w:start="0"/>
        <w:rPr>
          <w:rFonts w:ascii="Book Antiqua" w:hAnsi="Book Antiqua" w:cs="Book Antiqua"/>
          <w:sz w:val="24"/>
        </w:rPr>
      </w:pPr>
      <w:r>
        <w:rPr>
          <w:rFonts w:cs="Book Antiqua"/>
          <w:sz w:val="24"/>
        </w:rPr>
      </w:r>
    </w:p>
    <w:p>
      <w:pPr>
        <w:pStyle w:val="Heading6"/>
        <w:numPr>
          <w:ilvl w:val="0"/>
          <w:numId w:val="8"/>
        </w:numPr>
        <w:jc w:val="start"/>
        <w:rPr>
          <w:b w:val="false"/>
          <w:u w:val="single"/>
        </w:rPr>
      </w:pPr>
      <w:r>
        <w:rPr>
          <w:b w:val="false"/>
          <w:u w:val="single"/>
        </w:rPr>
        <w:t xml:space="preserve">Hector Road As A Formal Receipt Point  </w:t>
      </w:r>
      <w:r>
        <w:rPr>
          <w:b w:val="false"/>
          <w:i/>
        </w:rPr>
        <w:t>Section 1.4</w:t>
      </w:r>
    </w:p>
    <w:p>
      <w:pPr>
        <w:pStyle w:val="BodyText"/>
        <w:rPr/>
      </w:pPr>
      <w:r>
        <w:rPr/>
        <w:t>SoCalGas has already filed at the FERC seeking Hector Road as formal delivery point from Mojave.  The Parties to this Settlement agree not to oppose the required FERC approval of this delivery point.  The minimum firm capacity at Hector Road would be 50 MMcfd.  SoCalGas can receive these volumes from Mojave at Hector Road on a firm basis while at the same time providing its historical 750 MMcfd of firm capacity from Transwestern at North Needles.  Volumes nominated at Hector Road in excess of 50 MMcfd will be secondary to nominations for deliveries from Transwestern Pipeline Company (“Transwestern”) at SoCalGas’ North Needles receipt point (see Appendix B for Discussion of Primary/Secondary Access).  Establishing Hector Road as a formal receipt point on the SoCalGas system will benefit all market participants by increasing the total capacity available for access, providing additional flexibility and choice as to where parties access the system and furthers competition between access points that will benefit all participants through lower prices.</w:t>
      </w:r>
    </w:p>
    <w:p>
      <w:pPr>
        <w:pStyle w:val="Heading5"/>
        <w:ind w:hanging="0" w:start="0"/>
        <w:rPr/>
      </w:pPr>
      <w:r>
        <w:rPr/>
      </w:r>
    </w:p>
    <w:p>
      <w:pPr>
        <w:pStyle w:val="Heading5"/>
        <w:ind w:hanging="0" w:start="0"/>
        <w:rPr/>
      </w:pPr>
      <w:r>
        <w:rPr/>
        <w:t xml:space="preserve">6.  Elimination of Windowing   </w:t>
      </w:r>
      <w:r>
        <w:rPr>
          <w:i/>
          <w:u w:val="none"/>
        </w:rPr>
        <w:t>Section 1.5</w:t>
      </w:r>
    </w:p>
    <w:p>
      <w:pPr>
        <w:pStyle w:val="Normal"/>
        <w:rPr>
          <w:rFonts w:ascii="Book Antiqua" w:hAnsi="Book Antiqua" w:cs="Book Antiqua"/>
          <w:sz w:val="24"/>
        </w:rPr>
      </w:pPr>
      <w:r>
        <w:rPr>
          <w:rFonts w:cs="Book Antiqua" w:ascii="Book Antiqua" w:hAnsi="Book Antiqua"/>
          <w:sz w:val="24"/>
        </w:rPr>
        <w:t>SoCalGas currently applies a “windowing” procedure to determine the maximum amount of gas on a daily basis that it allows to be scheduled by shippers for each of the receipt point on its system.  The details of this procedure are set forth in SoCalGas Advice Letter 2837.  In essence, these windows usually restricted allowable shipper nominations on the SoCalGas system below the physical capacities of the individual receipt points.  The current “windowing” process on the SoCalGas system will be eliminated upon the effective date of the Comprehensive Settlement Agreement.  In its place, until the implementation of firm intrastate Backbone Transmission rights on October 1, 2001, SoCalGas will allow shippers to use the maximum physical daily capacity of each and every receipt point on its system.  If SoCalGas’ customers’ nominations in total for a receipt point exceed SoCalGas’ physical maximum capacity for the day at that receipt point, SoCalGas will continue to have the upstream pipeline at the interconnection point determine which shippers’ gas will be scheduled (up to the physical maximum) based on the upstream pipeline’s capacity rights system.  The daily physical maximum for each receipt point will be posted daily on SoCalGas’ publicly available GasSelect system prior to the nomination deadline.</w:t>
      </w:r>
    </w:p>
    <w:p>
      <w:pPr>
        <w:pStyle w:val="Normal"/>
        <w:rPr>
          <w:rFonts w:ascii="Book Antiqua" w:hAnsi="Book Antiqua" w:cs="Book Antiqua"/>
          <w:sz w:val="24"/>
        </w:rPr>
      </w:pPr>
      <w:r>
        <w:rPr>
          <w:rFonts w:cs="Book Antiqua" w:ascii="Book Antiqua" w:hAnsi="Book Antiqua"/>
          <w:sz w:val="24"/>
        </w:rPr>
      </w:r>
    </w:p>
    <w:p>
      <w:pPr>
        <w:pStyle w:val="Normal"/>
        <w:rPr>
          <w:rFonts w:ascii="Book Antiqua" w:hAnsi="Book Antiqua" w:cs="Book Antiqua"/>
          <w:sz w:val="24"/>
        </w:rPr>
      </w:pPr>
      <w:r>
        <w:rPr>
          <w:rFonts w:cs="Book Antiqua" w:ascii="Book Antiqua" w:hAnsi="Book Antiqua"/>
          <w:sz w:val="24"/>
        </w:rPr>
        <w:t xml:space="preserve">Once firm intrastate Backbone Transmission rights on the SoCalGas system are established on October 1, 2001, the parties holding the firm intrastate Backbone Transmission rights (not the upstream interstate pipelines) will determine the gas that flows at the receipt points.  This will further serve to enhance the value of the SoCalGas transmission system and increase market certainty for shippers on the SoCalGas system. </w:t>
      </w:r>
    </w:p>
    <w:p>
      <w:pPr>
        <w:pStyle w:val="Normal"/>
        <w:spacing w:lineRule="auto" w:line="360"/>
        <w:rPr>
          <w:rFonts w:ascii="Book Antiqua" w:hAnsi="Book Antiqua" w:cs="Book Antiqua"/>
          <w:b/>
          <w:sz w:val="24"/>
        </w:rPr>
      </w:pPr>
      <w:r>
        <w:rPr>
          <w:rFonts w:cs="Book Antiqua" w:ascii="Book Antiqua" w:hAnsi="Book Antiqua"/>
          <w:b/>
          <w:sz w:val="24"/>
        </w:rPr>
      </w:r>
    </w:p>
    <w:p>
      <w:pPr>
        <w:pStyle w:val="Normal"/>
        <w:spacing w:lineRule="auto" w:line="360"/>
        <w:rPr>
          <w:rFonts w:ascii="Book Antiqua" w:hAnsi="Book Antiqua" w:cs="Book Antiqua"/>
          <w:b/>
          <w:sz w:val="24"/>
        </w:rPr>
      </w:pPr>
      <w:r>
        <w:rPr>
          <w:rFonts w:cs="Book Antiqua" w:ascii="Book Antiqua" w:hAnsi="Book Antiqua"/>
          <w:b/>
          <w:sz w:val="24"/>
        </w:rPr>
      </w:r>
    </w:p>
    <w:p>
      <w:pPr>
        <w:pStyle w:val="Heading8"/>
        <w:ind w:hanging="0" w:start="0"/>
        <w:jc w:val="center"/>
        <w:rPr/>
      </w:pPr>
      <w:r>
        <w:rPr/>
        <w:t>Restructuring Storage</w:t>
      </w:r>
    </w:p>
    <w:p>
      <w:pPr>
        <w:pStyle w:val="Normal"/>
        <w:spacing w:lineRule="auto" w:line="360"/>
        <w:rPr>
          <w:rFonts w:ascii="Book Antiqua" w:hAnsi="Book Antiqua" w:cs="Book Antiqua"/>
          <w:i/>
          <w:i/>
          <w:sz w:val="24"/>
        </w:rPr>
      </w:pPr>
      <w:r>
        <w:rPr>
          <w:rFonts w:cs="Book Antiqua" w:ascii="Book Antiqua" w:hAnsi="Book Antiqua"/>
          <w:i/>
          <w:sz w:val="24"/>
        </w:rPr>
        <w:t>Summary</w:t>
      </w:r>
    </w:p>
    <w:p>
      <w:pPr>
        <w:pStyle w:val="Normal"/>
        <w:spacing w:lineRule="auto" w:line="360"/>
        <w:rPr>
          <w:rFonts w:ascii="Book Antiqua" w:hAnsi="Book Antiqua" w:cs="Book Antiqua"/>
          <w:sz w:val="24"/>
        </w:rPr>
      </w:pPr>
      <w:r>
        <w:rPr>
          <w:rFonts w:cs="Book Antiqua" w:ascii="Book Antiqua" w:hAnsi="Book Antiqua"/>
          <w:sz w:val="24"/>
        </w:rPr>
        <w:t>The Comprehensive Settlement Agreement restructures storage services on the SoCalGas system by addressing all the Commission's most Promising Options for storage.  Furthermore, it addresses market power issues related to storage raised during this proceeding, and promotes greater statewide consistency.</w:t>
      </w:r>
    </w:p>
    <w:p>
      <w:pPr>
        <w:pStyle w:val="Normal"/>
        <w:numPr>
          <w:ilvl w:val="0"/>
          <w:numId w:val="5"/>
        </w:numPr>
        <w:spacing w:lineRule="auto" w:line="360"/>
        <w:rPr>
          <w:rFonts w:ascii="Book Antiqua" w:hAnsi="Book Antiqua" w:cs="Book Antiqua"/>
          <w:sz w:val="24"/>
        </w:rPr>
      </w:pPr>
      <w:r>
        <w:rPr>
          <w:rFonts w:cs="Book Antiqua" w:ascii="Book Antiqua" w:hAnsi="Book Antiqua"/>
          <w:sz w:val="24"/>
        </w:rPr>
        <w:t>The Comprehensive Settlement allays the concerns regarding "market power" in storage that many parties may have had through the institution of a cost-based open season for a standard storage package.</w:t>
      </w:r>
    </w:p>
    <w:p>
      <w:pPr>
        <w:pStyle w:val="Normal"/>
        <w:numPr>
          <w:ilvl w:val="0"/>
          <w:numId w:val="5"/>
        </w:numPr>
        <w:spacing w:lineRule="auto" w:line="360"/>
        <w:rPr>
          <w:rFonts w:ascii="Book Antiqua" w:hAnsi="Book Antiqua" w:cs="Book Antiqua"/>
          <w:sz w:val="24"/>
        </w:rPr>
      </w:pPr>
      <w:r>
        <w:rPr>
          <w:rFonts w:cs="Book Antiqua" w:ascii="Book Antiqua" w:hAnsi="Book Antiqua"/>
          <w:sz w:val="24"/>
        </w:rPr>
        <w:t>After April of 2003, the Settlement places the utility fully at-risk for unused storage resources.  SoCalGas' pricing flexibility will be limited, but will increase as its cost recovery risk reaches the 100% level in 2003.</w:t>
      </w:r>
    </w:p>
    <w:p>
      <w:pPr>
        <w:pStyle w:val="Normal"/>
        <w:numPr>
          <w:ilvl w:val="0"/>
          <w:numId w:val="5"/>
        </w:numPr>
        <w:spacing w:lineRule="auto" w:line="360"/>
        <w:rPr>
          <w:rFonts w:ascii="Book Antiqua" w:hAnsi="Book Antiqua" w:cs="Book Antiqua"/>
          <w:sz w:val="24"/>
        </w:rPr>
      </w:pPr>
      <w:r>
        <w:rPr>
          <w:rFonts w:cs="Book Antiqua" w:ascii="Book Antiqua" w:hAnsi="Book Antiqua"/>
          <w:sz w:val="24"/>
        </w:rPr>
        <w:t>The Comprehensive Settlement Agreement unbundles storage costs for all core (retail and CTA) customers.</w:t>
      </w:r>
    </w:p>
    <w:p>
      <w:pPr>
        <w:pStyle w:val="Normal"/>
        <w:numPr>
          <w:ilvl w:val="0"/>
          <w:numId w:val="5"/>
        </w:numPr>
        <w:spacing w:lineRule="auto" w:line="360"/>
        <w:rPr>
          <w:rFonts w:ascii="Book Antiqua" w:hAnsi="Book Antiqua" w:cs="Book Antiqua"/>
          <w:sz w:val="24"/>
        </w:rPr>
      </w:pPr>
      <w:r>
        <w:rPr>
          <w:rFonts w:cs="Book Antiqua" w:ascii="Book Antiqua" w:hAnsi="Book Antiqua"/>
          <w:sz w:val="24"/>
        </w:rPr>
        <w:t>The Comprehensive Settlement Agreement enhances the current secondary market for storage on the SoCalGas system.</w:t>
      </w:r>
    </w:p>
    <w:p>
      <w:pPr>
        <w:pStyle w:val="Normal"/>
        <w:numPr>
          <w:ilvl w:val="0"/>
          <w:numId w:val="5"/>
        </w:numPr>
        <w:spacing w:lineRule="auto" w:line="360"/>
        <w:rPr>
          <w:rFonts w:ascii="Book Antiqua" w:hAnsi="Book Antiqua" w:cs="Book Antiqua"/>
          <w:sz w:val="24"/>
        </w:rPr>
      </w:pPr>
      <w:r>
        <w:rPr>
          <w:rFonts w:cs="Book Antiqua" w:ascii="Book Antiqua" w:hAnsi="Book Antiqua"/>
          <w:sz w:val="24"/>
        </w:rPr>
        <w:t>The Comprehensive Settlement creates greater consistency with N. California by unbundling the embedded, not LRMC, costs of storage.</w:t>
      </w:r>
    </w:p>
    <w:p>
      <w:pPr>
        <w:pStyle w:val="Normal"/>
        <w:spacing w:lineRule="auto" w:line="360"/>
        <w:rPr>
          <w:rFonts w:ascii="Book Antiqua" w:hAnsi="Book Antiqua" w:cs="Book Antiqua"/>
          <w:sz w:val="24"/>
        </w:rPr>
      </w:pPr>
      <w:r>
        <w:rPr>
          <w:rFonts w:cs="Book Antiqua" w:ascii="Book Antiqua" w:hAnsi="Book Antiqua"/>
          <w:sz w:val="24"/>
        </w:rPr>
      </w:r>
    </w:p>
    <w:p>
      <w:pPr>
        <w:pStyle w:val="Normal"/>
        <w:spacing w:lineRule="auto" w:line="360"/>
        <w:rPr/>
      </w:pPr>
      <w:r>
        <w:rPr>
          <w:rFonts w:cs="Book Antiqua" w:ascii="Book Antiqua" w:hAnsi="Book Antiqua"/>
          <w:sz w:val="24"/>
          <w:u w:val="single"/>
        </w:rPr>
        <w:t xml:space="preserve">1.  Storage Open Season Allays Market Power Concerns </w:t>
      </w:r>
      <w:r>
        <w:rPr>
          <w:rFonts w:cs="Book Antiqua" w:ascii="Book Antiqua" w:hAnsi="Book Antiqua"/>
          <w:i/>
          <w:sz w:val="24"/>
        </w:rPr>
        <w:t>Section 2.1.3.4</w:t>
      </w:r>
      <w:r>
        <w:rPr>
          <w:rFonts w:cs="Book Antiqua" w:ascii="Book Antiqua" w:hAnsi="Book Antiqua"/>
          <w:sz w:val="24"/>
          <w:u w:val="single"/>
        </w:rPr>
        <w:t xml:space="preserve"> </w:t>
      </w:r>
    </w:p>
    <w:p>
      <w:pPr>
        <w:pStyle w:val="BodyText"/>
        <w:spacing w:lineRule="auto" w:line="360"/>
        <w:rPr/>
      </w:pPr>
      <w:r>
        <w:rPr/>
        <w:t>The Comprehensive Settlement allays the concerns some parties had regarding SoCalGas' "market power" in storage services through the institution of a cost-based open season for a standard storage package, which can then be retraded in individual storage service components at market prices in the secondary market.  Any capacities not reserved for core customers or the default balancing service will be offered for sale in an open season to be held sometime prior to April 1, 2001.  In order to avoid stranding any single storage product, the package available in the open season is proportional to SoCalGas’ total storage capacities.  The proportions for the packages are 1 bcf of inventory, 7.6 mmcfd of injection and 29.6 mmcfd of withdrawal capacity.  Customers may bid for any quantity of inventory, and the associated injection and withdrawal reservation will be determined by this ratio.  Based on embedded costs, the price per unit of inventory for the package will be $0.67 per Dth per year, adjusted annually by the PBR escalation factor.  Approximately 30 Bcf of inventory (and related injection and withdrawal) will be available for sale in the initial open season under these packages.  Customers may bid for any term up to the full term of the settlement; priority will be accorded to longer-term bids.  Twenty percent of the total storage capacity available in the initial open season, however, will be reserved for the term of one-year or less.  This will allow customers additional opportunities to buy cost-based packages after the initial open season.</w:t>
      </w:r>
    </w:p>
    <w:p>
      <w:pPr>
        <w:pStyle w:val="Normal"/>
        <w:spacing w:lineRule="auto" w:line="360"/>
        <w:rPr>
          <w:rFonts w:ascii="Book Antiqua" w:hAnsi="Book Antiqua" w:cs="Book Antiqua"/>
          <w:sz w:val="24"/>
        </w:rPr>
      </w:pPr>
      <w:r>
        <w:rPr>
          <w:rFonts w:cs="Book Antiqua" w:ascii="Book Antiqua" w:hAnsi="Book Antiqua"/>
          <w:sz w:val="24"/>
        </w:rPr>
      </w:r>
    </w:p>
    <w:p>
      <w:pPr>
        <w:pStyle w:val="Normal"/>
        <w:spacing w:lineRule="auto" w:line="360"/>
        <w:rPr/>
      </w:pPr>
      <w:r>
        <w:rPr>
          <w:rFonts w:cs="Book Antiqua" w:ascii="Book Antiqua" w:hAnsi="Book Antiqua"/>
          <w:sz w:val="24"/>
          <w:u w:val="single"/>
        </w:rPr>
        <w:t xml:space="preserve">2.  SoCalGas At-Risk for Unutilized Storage  </w:t>
      </w:r>
      <w:r>
        <w:rPr>
          <w:rFonts w:cs="Book Antiqua" w:ascii="Book Antiqua" w:hAnsi="Book Antiqua"/>
          <w:i/>
          <w:sz w:val="24"/>
        </w:rPr>
        <w:t>Sections 2.3 &amp; 2.1.3.5</w:t>
      </w:r>
      <w:r>
        <w:rPr>
          <w:rFonts w:cs="Book Antiqua" w:ascii="Book Antiqua" w:hAnsi="Book Antiqua"/>
          <w:sz w:val="24"/>
          <w:u w:val="single"/>
        </w:rPr>
        <w:t xml:space="preserve"> </w:t>
      </w:r>
    </w:p>
    <w:p>
      <w:pPr>
        <w:pStyle w:val="Normal"/>
        <w:spacing w:lineRule="auto" w:line="360"/>
        <w:rPr>
          <w:rFonts w:ascii="Book Antiqua" w:hAnsi="Book Antiqua" w:cs="Book Antiqua"/>
          <w:sz w:val="24"/>
        </w:rPr>
      </w:pPr>
      <w:r>
        <w:rPr>
          <w:rFonts w:cs="Book Antiqua" w:ascii="Book Antiqua" w:hAnsi="Book Antiqua"/>
          <w:sz w:val="24"/>
        </w:rPr>
        <w:t>SoCalGas’ risk for cost recovery in the unbundled storage program will have three phases, corresponding to the pricing flexibility phases described below.  From April 2001-March 2002, SoCalGas will continue the 50% balancing account treatment being adopted for unbundled storage costs in the 1999 BCAP.  From April 2002-March 2003, SoCalGas will be 75% at risk with unbundled storage costs being ratepayer 25% balanced.  And, after April 2003, SoCalGas shall be 100% at risk for unbundled storage costs.  These provisions will reasonably transition SoCalGas from the 1996 BCAP environment, in which it enjoyed 100% balancing account recovery for any unrecovered unbundled storage program revenues, to the same 100% at-risk environment that was adopted in the PG&amp;E Gas Accord.  Since SoCalGas has significantly greater storage assets than does PG&amp;E, the absolute level of this risk will be substantially greater on the SoCalGas system.  The at-risk dollars associated with the unbundled storage program will start near $24 million/year and rise as customers exercise their storage unbundling options.</w:t>
      </w:r>
    </w:p>
    <w:p>
      <w:pPr>
        <w:pStyle w:val="Normal"/>
        <w:spacing w:lineRule="auto" w:line="360"/>
        <w:rPr>
          <w:rFonts w:ascii="Book Antiqua" w:hAnsi="Book Antiqua" w:cs="Book Antiqua"/>
          <w:sz w:val="24"/>
        </w:rPr>
      </w:pPr>
      <w:r>
        <w:rPr>
          <w:rFonts w:cs="Book Antiqua" w:ascii="Book Antiqua" w:hAnsi="Book Antiqua"/>
          <w:sz w:val="24"/>
        </w:rPr>
      </w:r>
    </w:p>
    <w:p>
      <w:pPr>
        <w:pStyle w:val="Normal"/>
        <w:spacing w:lineRule="auto" w:line="360"/>
        <w:rPr>
          <w:rFonts w:ascii="Book Antiqua" w:hAnsi="Book Antiqua" w:cs="Book Antiqua"/>
          <w:sz w:val="24"/>
        </w:rPr>
      </w:pPr>
      <w:r>
        <w:rPr>
          <w:rFonts w:cs="Book Antiqua" w:ascii="Book Antiqua" w:hAnsi="Book Antiqua"/>
          <w:sz w:val="24"/>
        </w:rPr>
        <w:t>Any capacities not reserved or subscribed in the cost-based open season, as well as operationally available capacities, will be offered for sale through SoCalGas’ Schedule GTBS.  Under schedule GTBS customers may purchase any combination of storage products (inventory, injection, and withdrawal) for any term.  These sales will be subject to new price caps and floors under the Comprehensive Settlement Agreement.  In the first stage, effective April 1, 2001 - March 31, 2002, prices for each storage product (inventory, injection, and withdrawal) will be limited to +/- 50% of the embedded cost rate.  In the second stage, effective April 1, 2002 - March 31, 2003 the price floor will be 50% of embedded cost, and the ceiling will be 200% of embedded cost.  From April 1, 2003 through the end of the settlement, the price floor will be short run marginal cost and the current GTBS pricing ceiling will be reinstituted.  It is reasonable for SoCalGas to have increasing pricing flexibility as its shareholder risk increases.</w:t>
      </w:r>
    </w:p>
    <w:p>
      <w:pPr>
        <w:pStyle w:val="Normal"/>
        <w:spacing w:lineRule="auto" w:line="360"/>
        <w:rPr>
          <w:rFonts w:ascii="Book Antiqua" w:hAnsi="Book Antiqua" w:cs="Book Antiqua"/>
          <w:sz w:val="24"/>
        </w:rPr>
      </w:pPr>
      <w:r>
        <w:rPr>
          <w:rFonts w:cs="Book Antiqua" w:ascii="Book Antiqua" w:hAnsi="Book Antiqua"/>
          <w:sz w:val="24"/>
        </w:rPr>
      </w:r>
    </w:p>
    <w:p>
      <w:pPr>
        <w:pStyle w:val="BodyText"/>
        <w:spacing w:lineRule="auto" w:line="360"/>
        <w:rPr/>
      </w:pPr>
      <w:r>
        <w:rPr/>
        <w:t>The at-risk feature of the Comprehensive Settlement Agreement allays the concerns of third-party storage providers that SoCalGas ratepayers could be subsidizing any discounting that SoCalGas finds necessary to sell its storage products in the G-TBS program.  Furthermore, upward pricing flexibility is appropriate in the G-TBS program since it only applies to capacity that remains unallocated after assignments and the cost-based open seasons.</w:t>
      </w:r>
    </w:p>
    <w:p>
      <w:pPr>
        <w:pStyle w:val="Normal"/>
        <w:spacing w:lineRule="auto" w:line="360"/>
        <w:rPr>
          <w:rFonts w:ascii="Book Antiqua" w:hAnsi="Book Antiqua" w:cs="Book Antiqua"/>
          <w:sz w:val="24"/>
        </w:rPr>
      </w:pPr>
      <w:r>
        <w:rPr>
          <w:rFonts w:cs="Book Antiqua" w:ascii="Book Antiqua" w:hAnsi="Book Antiqua"/>
          <w:sz w:val="24"/>
        </w:rPr>
      </w:r>
    </w:p>
    <w:p>
      <w:pPr>
        <w:pStyle w:val="Normal"/>
        <w:spacing w:lineRule="auto" w:line="360"/>
        <w:rPr/>
      </w:pPr>
      <w:r>
        <w:rPr>
          <w:rFonts w:cs="Book Antiqua" w:ascii="Book Antiqua" w:hAnsi="Book Antiqua"/>
          <w:sz w:val="24"/>
          <w:u w:val="single"/>
        </w:rPr>
        <w:t>3.  Storage Restructuring For Core Customers</w:t>
      </w:r>
      <w:r>
        <w:rPr>
          <w:rFonts w:cs="Book Antiqua" w:ascii="Book Antiqua" w:hAnsi="Book Antiqua"/>
          <w:sz w:val="24"/>
        </w:rPr>
        <w:t xml:space="preserve">             </w:t>
      </w:r>
      <w:r>
        <w:rPr>
          <w:rFonts w:cs="Book Antiqua" w:ascii="Book Antiqua" w:hAnsi="Book Antiqua"/>
          <w:i/>
          <w:sz w:val="24"/>
        </w:rPr>
        <w:t>Sections 2.1.3.1, 2.1.3.2 &amp; 5.4</w:t>
      </w:r>
    </w:p>
    <w:p>
      <w:pPr>
        <w:pStyle w:val="Normal"/>
        <w:spacing w:lineRule="auto" w:line="360"/>
        <w:rPr>
          <w:rFonts w:ascii="Book Antiqua" w:hAnsi="Book Antiqua" w:cs="Book Antiqua"/>
          <w:sz w:val="24"/>
        </w:rPr>
      </w:pPr>
      <w:r>
        <w:rPr>
          <w:rFonts w:cs="Book Antiqua" w:ascii="Book Antiqua" w:hAnsi="Book Antiqua"/>
          <w:sz w:val="24"/>
        </w:rPr>
        <w:t>As of April 1, 2001 the total core storage reservation (before any CTA unbundling elections described below) will be 55 Bcf inventory, 327 MMcfd injection, and 1935 MMcfd withdrawal.  These quantities are reduced from those adopted for the total core market in the 1999 BCAP, due to a 15 Bcf reduction in total of core storage inventory being unbundled.  The core will be able to buy additional storage in the open season or in the secondary market, but there will at least be partial restructuring of storage services for all core customers, including residential customers.  Partially as a result of this restructuring and partially as a result of embedded cost pricing, the cost of this core storage reservation will be reduced to $34.15 million ($35.4 million plus $1.25 million in oil revenue credits), or just over 10 cents per dth of total annual core throughput.  This represents a significant decrease from the $40.6 million allocated to the total core for storage costs in the 1999 BCAP.  Exhibit 5 provides backup to these calculations and the credit calculations described below.</w:t>
      </w:r>
    </w:p>
    <w:p>
      <w:pPr>
        <w:pStyle w:val="Normal"/>
        <w:spacing w:lineRule="auto" w:line="360"/>
        <w:rPr>
          <w:rFonts w:ascii="Book Antiqua" w:hAnsi="Book Antiqua" w:cs="Book Antiqua"/>
          <w:sz w:val="24"/>
          <w:u w:val="single"/>
        </w:rPr>
      </w:pPr>
      <w:r>
        <w:rPr>
          <w:rFonts w:cs="Book Antiqua" w:ascii="Book Antiqua" w:hAnsi="Book Antiqua"/>
          <w:sz w:val="24"/>
          <w:u w:val="single"/>
        </w:rPr>
      </w:r>
    </w:p>
    <w:p>
      <w:pPr>
        <w:pStyle w:val="Normal"/>
        <w:spacing w:lineRule="auto" w:line="360"/>
        <w:rPr>
          <w:rFonts w:ascii="Book Antiqua" w:hAnsi="Book Antiqua" w:cs="Book Antiqua"/>
          <w:sz w:val="24"/>
        </w:rPr>
      </w:pPr>
      <w:r>
        <w:rPr>
          <w:rFonts w:cs="Book Antiqua" w:ascii="Book Antiqua" w:hAnsi="Book Antiqua"/>
          <w:sz w:val="24"/>
        </w:rPr>
        <w:t>A myriad of new competitive storage options will be provided to CTAs as they compete for core market share.  As of April 2001, CTAs will be able to reject all or a portion of the storage that would otherwise be assigned to them.  They will be able to receive a credit almost equal to the full 10 cents/dth of storage otherwise allocated to core customers if they reject all storage and elect to become "self-balancers".  Or, CTAs can receive a 1.6 cent/dth smaller credit and elect to become default noncore balancers subject to noncore OFO events and procedures.  Under either of these first two options, the CTAs must certify that they can meet the peak day reliability otherwise provided by the storage withdrawal assignment using an alternative, reliable supplier.  And, significant diversion charges will apply to these CTAs if those alternative supplies fail to deliver at critical times.  If CTAs do not want to bother with this alternative supplier certification process, they can elect to reject only the non-reliability portion of core storage assignment (defined as 20 Bcf, and 93 MMcfd of injection and still receive about a 2.3 cent/dth credit.  (Actual, specific CTA credits will depend upon the level of storage otherwise allocated to the CTA customers which, in turn, is a function of the CTAs winter load relative to total core winter load.)  Any storage capacity that is rejected by the CTAs as they make these elections is allocated to the unbundled storage program, thereby increasing the capacity that SoCalGas will market and the cost recovery risk for storage under this Comprehensive Settlement Agreement.  Any storage rights that CTAs retain can be traded in secondary markets.  (Except that any storage reliability assignment is subject to peak day minimums proportional to those of the retail core.)</w:t>
      </w:r>
    </w:p>
    <w:p>
      <w:pPr>
        <w:pStyle w:val="Normal"/>
        <w:spacing w:lineRule="auto" w:line="360"/>
        <w:rPr>
          <w:rFonts w:ascii="Book Antiqua" w:hAnsi="Book Antiqua" w:cs="Book Antiqua"/>
          <w:sz w:val="24"/>
        </w:rPr>
      </w:pPr>
      <w:r>
        <w:rPr>
          <w:rFonts w:cs="Book Antiqua" w:ascii="Book Antiqua" w:hAnsi="Book Antiqua"/>
          <w:sz w:val="24"/>
        </w:rPr>
      </w:r>
    </w:p>
    <w:p>
      <w:pPr>
        <w:pStyle w:val="Normal"/>
        <w:spacing w:lineRule="auto" w:line="360"/>
        <w:rPr/>
      </w:pPr>
      <w:r>
        <w:rPr>
          <w:rFonts w:cs="Book Antiqua" w:ascii="Book Antiqua" w:hAnsi="Book Antiqua"/>
          <w:sz w:val="24"/>
          <w:u w:val="single"/>
        </w:rPr>
        <w:t>4.  A More Robust Secondary Market is Established</w:t>
      </w:r>
      <w:r>
        <w:rPr>
          <w:rFonts w:cs="Book Antiqua" w:ascii="Book Antiqua" w:hAnsi="Book Antiqua"/>
          <w:i/>
          <w:sz w:val="24"/>
        </w:rPr>
        <w:t xml:space="preserve"> </w:t>
      </w:r>
      <w:r>
        <w:rPr>
          <w:rFonts w:cs="Book Antiqua" w:ascii="Book Antiqua" w:hAnsi="Book Antiqua"/>
          <w:sz w:val="24"/>
          <w:u w:val="single"/>
        </w:rPr>
        <w:t xml:space="preserve"> </w:t>
      </w:r>
      <w:r>
        <w:rPr>
          <w:rFonts w:cs="Book Antiqua" w:ascii="Book Antiqua" w:hAnsi="Book Antiqua"/>
          <w:i/>
          <w:sz w:val="24"/>
        </w:rPr>
        <w:t>Section 2.2.3</w:t>
      </w:r>
      <w:r>
        <w:rPr>
          <w:rFonts w:cs="Book Antiqua" w:ascii="Book Antiqua" w:hAnsi="Book Antiqua"/>
          <w:sz w:val="24"/>
          <w:u w:val="single"/>
        </w:rPr>
        <w:t xml:space="preserve"> </w:t>
      </w:r>
    </w:p>
    <w:p>
      <w:pPr>
        <w:pStyle w:val="Normal"/>
        <w:spacing w:lineRule="auto" w:line="360"/>
        <w:rPr>
          <w:rFonts w:ascii="Book Antiqua" w:hAnsi="Book Antiqua" w:cs="Book Antiqua"/>
          <w:sz w:val="24"/>
        </w:rPr>
      </w:pPr>
      <w:r>
        <w:rPr>
          <w:rFonts w:cs="Book Antiqua" w:ascii="Book Antiqua" w:hAnsi="Book Antiqua"/>
          <w:sz w:val="24"/>
        </w:rPr>
        <w:t xml:space="preserve">Currently, SoCalGas only allows customers to assign their full storage contracts for the full remaining term to other parties.  Although this is a form of secondary market, SoCalGas will increase the liquidity and transparency of the secondary market by allowing parties to trade portions of their storage rights on individual dimensions (i.e., inventory, injection, withdrawal) for any term.  These rights can be traded through an electronic bulletin board that SoCalGas will establish. </w:t>
      </w:r>
    </w:p>
    <w:p>
      <w:pPr>
        <w:pStyle w:val="Normal"/>
        <w:spacing w:lineRule="auto" w:line="360"/>
        <w:rPr>
          <w:rFonts w:ascii="Book Antiqua" w:hAnsi="Book Antiqua" w:cs="Book Antiqua"/>
          <w:sz w:val="24"/>
        </w:rPr>
      </w:pPr>
      <w:r>
        <w:rPr>
          <w:rFonts w:cs="Book Antiqua" w:ascii="Book Antiqua" w:hAnsi="Book Antiqua"/>
          <w:sz w:val="24"/>
        </w:rPr>
      </w:r>
    </w:p>
    <w:p>
      <w:pPr>
        <w:pStyle w:val="Normal"/>
        <w:spacing w:lineRule="auto" w:line="360"/>
        <w:rPr/>
      </w:pPr>
      <w:r>
        <w:rPr>
          <w:rFonts w:cs="Book Antiqua" w:ascii="Book Antiqua" w:hAnsi="Book Antiqua"/>
          <w:sz w:val="24"/>
          <w:u w:val="single"/>
        </w:rPr>
        <w:t>5.  Unbundling Using Embedded Cost of Storage</w:t>
      </w:r>
      <w:r>
        <w:rPr>
          <w:rFonts w:cs="Book Antiqua" w:ascii="Book Antiqua" w:hAnsi="Book Antiqua"/>
          <w:i/>
          <w:sz w:val="24"/>
        </w:rPr>
        <w:t xml:space="preserve">  Section 2.1.3.2</w:t>
      </w:r>
      <w:r>
        <w:rPr>
          <w:rFonts w:cs="Book Antiqua" w:ascii="Book Antiqua" w:hAnsi="Book Antiqua"/>
          <w:sz w:val="24"/>
          <w:u w:val="single"/>
        </w:rPr>
        <w:t xml:space="preserve"> </w:t>
      </w:r>
    </w:p>
    <w:p>
      <w:pPr>
        <w:pStyle w:val="BodyText"/>
        <w:spacing w:lineRule="auto" w:line="360"/>
        <w:rPr/>
      </w:pPr>
      <w:r>
        <w:rPr/>
        <w:t>The Comprehensive Settlement Agreement creates greater statewide consistency the embedded costs of storage from bundled, LRMC distribution rates.  According to FERC Form 2 data, the 1998 embedded cost of storage (excluding Montebello, which SoCalGas has applied to the Commission for authority to sell, (see A.______) was $71.6 million (excluding 2.44% in-kind fuel and 3.3 million of variable O&amp;M).  See Exhibit 6 for details of the embedded cost derivations.  This embedded storage cost includes an allocation of A&amp;G to storage that is proportional to storage O&amp;M costs.  The $71.6 million total embedded cost of storage was allocated among each of the three storage services (105.6 Bcf of inventory, 803 MMcfd of injection, and 3125 MMcfd of withdrawal, per the 1999 BCAP) based on percentages derived from a 1992 embedded cost study.  The resulting costs for injection, withdrawal, inventory services and the resulting total costs for the initial core storage allocation, the default noncore balancing function, and the unbundled storage program are shown in Exhibit 5.  The use of embedded costs will create greater price certainty for storage customers during the term of the Comprehensive Settlement.  It will also eliminate the need for storage resource plans (which have proved to be controversial) to develop BCAP marginal storage cost estimates.</w:t>
      </w:r>
    </w:p>
    <w:p>
      <w:pPr>
        <w:pStyle w:val="Normal"/>
        <w:spacing w:lineRule="auto" w:line="360"/>
        <w:rPr>
          <w:rFonts w:ascii="Book Antiqua" w:hAnsi="Book Antiqua" w:cs="Book Antiqua"/>
          <w:sz w:val="24"/>
        </w:rPr>
      </w:pPr>
      <w:r>
        <w:rPr>
          <w:rFonts w:cs="Book Antiqua" w:ascii="Book Antiqua" w:hAnsi="Book Antiqua"/>
          <w:sz w:val="24"/>
        </w:rPr>
      </w:r>
    </w:p>
    <w:p>
      <w:pPr>
        <w:pStyle w:val="Normal"/>
        <w:spacing w:lineRule="auto" w:line="360"/>
        <w:rPr>
          <w:rFonts w:ascii="Book Antiqua" w:hAnsi="Book Antiqua" w:cs="Book Antiqua"/>
          <w:sz w:val="24"/>
        </w:rPr>
      </w:pPr>
      <w:r>
        <w:rPr>
          <w:rFonts w:cs="Book Antiqua" w:ascii="Book Antiqua" w:hAnsi="Book Antiqua"/>
          <w:sz w:val="24"/>
        </w:rPr>
      </w:r>
    </w:p>
    <w:p>
      <w:pPr>
        <w:pStyle w:val="Heading5"/>
        <w:ind w:hanging="0" w:start="0"/>
        <w:jc w:val="center"/>
        <w:rPr>
          <w:b/>
        </w:rPr>
      </w:pPr>
      <w:r>
        <w:rPr>
          <w:b/>
        </w:rPr>
        <w:t>Restructuring Balancing</w:t>
      </w:r>
    </w:p>
    <w:p>
      <w:pPr>
        <w:pStyle w:val="BodyText"/>
        <w:spacing w:lineRule="auto" w:line="360" w:before="120" w:after="0"/>
        <w:rPr>
          <w:i/>
          <w:i/>
        </w:rPr>
      </w:pPr>
      <w:r>
        <w:rPr>
          <w:i/>
        </w:rPr>
        <w:t>Summary</w:t>
      </w:r>
    </w:p>
    <w:p>
      <w:pPr>
        <w:pStyle w:val="BodyText"/>
        <w:spacing w:lineRule="auto" w:line="360"/>
        <w:rPr/>
      </w:pPr>
      <w:r>
        <w:rPr/>
        <w:t>The balancing provisions of the Comprehensive Settlement Agreement will achieve the following stated Commission most promising options:</w:t>
      </w:r>
    </w:p>
    <w:p>
      <w:pPr>
        <w:pStyle w:val="BodyText"/>
        <w:numPr>
          <w:ilvl w:val="0"/>
          <w:numId w:val="11"/>
        </w:numPr>
        <w:spacing w:lineRule="auto" w:line="360"/>
        <w:rPr/>
      </w:pPr>
      <w:r>
        <w:rPr/>
        <w:t>Statewide consistency will be enhanced through similar OFO procedures on the SoCalGas and PG&amp;E systems.</w:t>
      </w:r>
    </w:p>
    <w:p>
      <w:pPr>
        <w:pStyle w:val="BodyText"/>
        <w:numPr>
          <w:ilvl w:val="0"/>
          <w:numId w:val="11"/>
        </w:numPr>
        <w:spacing w:lineRule="auto" w:line="360"/>
        <w:rPr/>
      </w:pPr>
      <w:r>
        <w:rPr/>
        <w:t>Balancing services will be provided to noncore customers without drawing on core assets.</w:t>
      </w:r>
    </w:p>
    <w:p>
      <w:pPr>
        <w:pStyle w:val="BodyText"/>
        <w:numPr>
          <w:ilvl w:val="0"/>
          <w:numId w:val="11"/>
        </w:numPr>
        <w:spacing w:lineRule="auto" w:line="360"/>
        <w:rPr/>
      </w:pPr>
      <w:r>
        <w:rPr/>
        <w:t>Customers will be able to unbundle the balancing function, receive a substantial credit, and self-balance.</w:t>
      </w:r>
    </w:p>
    <w:p>
      <w:pPr>
        <w:pStyle w:val="BodyText"/>
        <w:numPr>
          <w:ilvl w:val="0"/>
          <w:numId w:val="11"/>
        </w:numPr>
        <w:spacing w:lineRule="auto" w:line="360"/>
        <w:rPr/>
      </w:pPr>
      <w:r>
        <w:rPr/>
        <w:t>Customers will be able to electronically trade daily OFO imbalances.</w:t>
      </w:r>
    </w:p>
    <w:p>
      <w:pPr>
        <w:pStyle w:val="BodyText"/>
        <w:spacing w:lineRule="auto" w:line="360" w:before="120" w:after="0"/>
        <w:rPr/>
      </w:pPr>
      <w:r>
        <w:rPr/>
      </w:r>
    </w:p>
    <w:p>
      <w:pPr>
        <w:pStyle w:val="Heading5"/>
        <w:numPr>
          <w:ilvl w:val="0"/>
          <w:numId w:val="6"/>
        </w:numPr>
        <w:spacing w:lineRule="auto" w:line="360" w:before="120" w:after="0"/>
        <w:rPr/>
      </w:pPr>
      <w:r>
        <w:rPr/>
        <w:t xml:space="preserve">Statewide Consistent OFO Procedures  </w:t>
      </w:r>
      <w:r>
        <w:rPr>
          <w:i/>
          <w:u w:val="none"/>
        </w:rPr>
        <w:t>Sections 3.1</w:t>
      </w:r>
      <w:r>
        <w:rPr/>
        <w:t xml:space="preserve"> </w:t>
      </w:r>
    </w:p>
    <w:p>
      <w:pPr>
        <w:pStyle w:val="BodyText3"/>
        <w:jc w:val="start"/>
        <w:rPr/>
      </w:pPr>
      <w:r>
        <w:rPr/>
        <w:t xml:space="preserve">The Comprehensive Settlement Agreement will replace SoCalGas’ system of overnomination procedures and winter balancing rules on April 1, 2001 with Operational Flow Order Procedures.  SoCalGas will issue Operational Flow Orders (OFOs) when storage capacities allocated for balancing are exceeded.  This is similar to the procedures in N. California, and furthers the Commission’s stated goal of statewide consistency.  Storage capacity allocated to the default noncore balancing service will be 5.3 bcf of inventory, and 250 mmcfd of injection and 250 MMcfd of withdrawal. The assets allocated to this noncore balancing function are about equal to those provided today, with the exception that 80 MMcfd less is allocated to injection.  The total embedded cost of this noncore reservation is $12.87 million, including variable costs.  (See Exhibit 5)  This equates to 1.95 cents/dth when divided by 1999 BCAP total noncore throughput.  These noncore balancing capacity reservations will be reduced to the extent noncore customers elect the self-balancing option described below.  Bundled balancing service will continue to be provided for monthly imbalances of ±10%.  OFOs will be called when noncore default balancers nominate more than 250 MMcfd of injection or 250 MMcfd of withdrawal or try to use more than 5.3 Bcf of inventory.  The imbalance tolerance on OFO days will be </w:t>
      </w:r>
      <w:r>
        <w:rPr>
          <w:u w:val="single"/>
        </w:rPr>
        <w:t>+</w:t>
      </w:r>
      <w:r>
        <w:rPr/>
        <w:t xml:space="preserve">10% similar to the </w:t>
      </w:r>
      <w:r>
        <w:rPr>
          <w:u w:val="single"/>
        </w:rPr>
        <w:t>+</w:t>
      </w:r>
      <w:r>
        <w:rPr/>
        <w:t xml:space="preserve">10% tolerance currently provided on SoCalGas overnomination days. </w:t>
      </w:r>
    </w:p>
    <w:p>
      <w:pPr>
        <w:pStyle w:val="BodyText3"/>
        <w:spacing w:lineRule="auto" w:line="480"/>
        <w:jc w:val="start"/>
        <w:rPr/>
      </w:pPr>
      <w:r>
        <w:rPr/>
      </w:r>
    </w:p>
    <w:p>
      <w:pPr>
        <w:pStyle w:val="BodyText"/>
        <w:numPr>
          <w:ilvl w:val="0"/>
          <w:numId w:val="6"/>
        </w:numPr>
        <w:spacing w:lineRule="auto" w:line="480" w:before="120" w:after="0"/>
        <w:rPr>
          <w:u w:val="single"/>
        </w:rPr>
      </w:pPr>
      <w:r>
        <w:rPr>
          <w:u w:val="single"/>
        </w:rPr>
        <w:t xml:space="preserve">The Core is Removed From the Balancing Function  </w:t>
      </w:r>
      <w:r>
        <w:rPr>
          <w:i/>
        </w:rPr>
        <w:t>Section 3.1</w:t>
      </w:r>
    </w:p>
    <w:p>
      <w:pPr>
        <w:pStyle w:val="BodyText"/>
        <w:spacing w:lineRule="auto" w:line="360" w:before="120" w:after="0"/>
        <w:rPr/>
      </w:pPr>
      <w:r>
        <w:rPr/>
        <w:t xml:space="preserve">The Comprehensive Settlement Agreement ensures that the core is removed from the balancing function by balancing the core and noncore markets separately.  The core will balance to forecasts of its burn by using its total storage rights.  The core's assets cannot be used for balancing by noncore customers, who will have their own set of balancing assets, and who will trigger noncore-only OFO events if they try to use core assets to balance. Daily balancing will be imposed under OFO conditions when either THE core or noncore group exceeds its allocated balancing capacities, and it’s entirely possible that one group will operate under OFO conditions while the other group does not.  The retail core will no longer purchase monthly noncore imbalances that remain uncured; SoCalGas Gas Operations’ function will now buy those imbalances.  </w:t>
      </w:r>
    </w:p>
    <w:p>
      <w:pPr>
        <w:pStyle w:val="Normal"/>
        <w:spacing w:lineRule="auto" w:line="360" w:before="120" w:after="0"/>
        <w:rPr>
          <w:rFonts w:ascii="Book Antiqua" w:hAnsi="Book Antiqua" w:cs="Book Antiqua"/>
          <w:sz w:val="24"/>
        </w:rPr>
      </w:pPr>
      <w:r>
        <w:rPr>
          <w:rFonts w:cs="Book Antiqua" w:ascii="Book Antiqua" w:hAnsi="Book Antiqua"/>
          <w:sz w:val="24"/>
        </w:rPr>
      </w:r>
    </w:p>
    <w:p>
      <w:pPr>
        <w:pStyle w:val="Normal"/>
        <w:spacing w:lineRule="auto" w:line="360" w:before="120" w:after="0"/>
        <w:rPr>
          <w:rFonts w:ascii="Book Antiqua" w:hAnsi="Book Antiqua" w:cs="Book Antiqua"/>
          <w:sz w:val="24"/>
          <w:u w:val="single"/>
        </w:rPr>
      </w:pPr>
      <w:r>
        <w:rPr>
          <w:rFonts w:cs="Book Antiqua" w:ascii="Book Antiqua" w:hAnsi="Book Antiqua"/>
          <w:sz w:val="24"/>
          <w:u w:val="single"/>
        </w:rPr>
        <w:t>3.  The Self-Balancing Option</w:t>
      </w:r>
      <w:r>
        <w:rPr>
          <w:rFonts w:cs="Book Antiqua" w:ascii="Book Antiqua" w:hAnsi="Book Antiqua"/>
          <w:sz w:val="24"/>
        </w:rPr>
        <w:t xml:space="preserve">             </w:t>
      </w:r>
      <w:r>
        <w:rPr>
          <w:rFonts w:cs="Book Antiqua" w:ascii="Book Antiqua" w:hAnsi="Book Antiqua"/>
          <w:i/>
          <w:sz w:val="24"/>
        </w:rPr>
        <w:t xml:space="preserve">Section 3.2 </w:t>
      </w:r>
    </w:p>
    <w:p>
      <w:pPr>
        <w:pStyle w:val="BodyText"/>
        <w:spacing w:lineRule="auto" w:line="360" w:before="120" w:after="0"/>
        <w:rPr/>
      </w:pPr>
      <w:r>
        <w:rPr/>
        <w:t>The Comprehensive Settlement Agreement restructures the balancing function by allowing all noncore, CTA, and wholesale customers (excluding SDG&amp;E) the option to elect a self-balancing service.  Customers who elect this self-balancing service will receive a credit of $0.0159/dth to their local transmission/distribution rate.  Self-balancing customers will agree to stringent daily balancing provisions (±5% daily balancing, ±1% accumulated imbalance) to insure that they do not use balancing capacities allocated to and paid for by other customers.  The self-balancing credit is less than the full cost of the noncore balancing function because those electing self-balancing will still utilize a portion of the limited pack and draft capabilities of the SoCalGas transmission system for daily balancing.  The offering of a self-balancing service is expected to encourage new market entry in balancing services by marketers and independent storage providers.</w:t>
      </w:r>
    </w:p>
    <w:p>
      <w:pPr>
        <w:pStyle w:val="Normal"/>
        <w:spacing w:lineRule="auto" w:line="360" w:before="120" w:after="0"/>
        <w:rPr>
          <w:rFonts w:ascii="Book Antiqua" w:hAnsi="Book Antiqua" w:cs="Book Antiqua"/>
          <w:sz w:val="24"/>
        </w:rPr>
      </w:pPr>
      <w:r>
        <w:rPr>
          <w:rFonts w:cs="Book Antiqua" w:ascii="Book Antiqua" w:hAnsi="Book Antiqua"/>
          <w:sz w:val="24"/>
        </w:rPr>
      </w:r>
    </w:p>
    <w:p>
      <w:pPr>
        <w:pStyle w:val="Normal"/>
        <w:spacing w:lineRule="auto" w:line="360" w:before="120" w:after="0"/>
        <w:rPr>
          <w:rFonts w:ascii="Book Antiqua" w:hAnsi="Book Antiqua" w:cs="Book Antiqua"/>
          <w:sz w:val="24"/>
          <w:u w:val="single"/>
        </w:rPr>
      </w:pPr>
      <w:r>
        <w:rPr>
          <w:rFonts w:cs="Book Antiqua" w:ascii="Book Antiqua" w:hAnsi="Book Antiqua"/>
          <w:sz w:val="24"/>
          <w:u w:val="single"/>
        </w:rPr>
        <w:t xml:space="preserve">4.  Electronic Trading of OFO Imbalances </w:t>
      </w:r>
      <w:r>
        <w:rPr>
          <w:rFonts w:cs="Book Antiqua" w:ascii="Book Antiqua" w:hAnsi="Book Antiqua"/>
          <w:i/>
          <w:sz w:val="24"/>
        </w:rPr>
        <w:t>Section 3.3.</w:t>
      </w:r>
    </w:p>
    <w:p>
      <w:pPr>
        <w:pStyle w:val="Normal"/>
        <w:spacing w:lineRule="auto" w:line="360" w:before="120" w:after="0"/>
        <w:rPr>
          <w:rFonts w:ascii="Book Antiqua" w:hAnsi="Book Antiqua" w:cs="Book Antiqua"/>
          <w:sz w:val="24"/>
        </w:rPr>
      </w:pPr>
      <w:r>
        <w:rPr>
          <w:rFonts w:cs="Book Antiqua" w:ascii="Book Antiqua" w:hAnsi="Book Antiqua"/>
          <w:sz w:val="24"/>
        </w:rPr>
        <w:t>The Comprehensive Settlement establishes a new procedure in which shippers can trade or sell imbalance rights on OFO days.  On a monthly basis, customers continue to be permitted to trade their imbalance rights and positions, whereas on OFO days customers will be issued “chips” reflecting the difference between their imbalance and tolerance level on that day.  Customers may then trade their imbalances, imbalance rights, or OFO chips with others to minimize or eliminate their imbalance penalties and extract value from unused balancing tolerances, whether they subscribe to the default balancing or self-balancing service.  By permitting trading of both monthly and OFO-day imbalance rights, the Comprehensive Settlement encourages efficient use of SoCalGas 'system.</w:t>
      </w:r>
    </w:p>
    <w:p>
      <w:pPr>
        <w:pStyle w:val="Normal"/>
        <w:spacing w:lineRule="auto" w:line="360" w:before="120" w:after="0"/>
        <w:rPr>
          <w:rFonts w:ascii="Book Antiqua" w:hAnsi="Book Antiqua" w:cs="Book Antiqua"/>
          <w:sz w:val="24"/>
        </w:rPr>
      </w:pPr>
      <w:r>
        <w:rPr>
          <w:rFonts w:cs="Book Antiqua" w:ascii="Book Antiqua" w:hAnsi="Book Antiqua"/>
          <w:sz w:val="24"/>
        </w:rPr>
      </w:r>
    </w:p>
    <w:p>
      <w:pPr>
        <w:pStyle w:val="Normal"/>
        <w:spacing w:lineRule="auto" w:line="360" w:before="120" w:after="0"/>
        <w:rPr/>
      </w:pPr>
      <w:r>
        <w:rPr>
          <w:rFonts w:cs="Book Antiqua" w:ascii="Book Antiqua" w:hAnsi="Book Antiqua"/>
          <w:sz w:val="24"/>
        </w:rPr>
        <w:t xml:space="preserve">In addition to the imbalance trading platform currently available in GasSelect®, the Comprehensive Settlement establishes an </w:t>
      </w:r>
      <w:r>
        <w:rPr>
          <w:rFonts w:cs="Book Antiqua" w:ascii="Book Antiqua" w:hAnsi="Book Antiqua"/>
          <w:sz w:val="24"/>
          <w:u w:val="single"/>
        </w:rPr>
        <w:t>anonymous</w:t>
      </w:r>
      <w:r>
        <w:rPr>
          <w:rFonts w:cs="Book Antiqua" w:ascii="Book Antiqua" w:hAnsi="Book Antiqua"/>
          <w:sz w:val="24"/>
        </w:rPr>
        <w:t xml:space="preserve"> imbalance trading platform through a third party service provider.  Customers may choose to use either one or both forums to facilitate imbalance trading, but are not required to use either.  Both platforms will improve the liquidity of the imbalance trading market.</w:t>
      </w:r>
    </w:p>
    <w:p>
      <w:pPr>
        <w:pStyle w:val="Normal"/>
        <w:spacing w:lineRule="auto" w:line="360" w:before="120" w:after="0"/>
        <w:rPr>
          <w:rFonts w:ascii="Book Antiqua" w:hAnsi="Book Antiqua" w:cs="Book Antiqua"/>
          <w:sz w:val="24"/>
        </w:rPr>
      </w:pPr>
      <w:r>
        <w:rPr>
          <w:rFonts w:cs="Book Antiqua" w:ascii="Book Antiqua" w:hAnsi="Book Antiqua"/>
          <w:sz w:val="24"/>
        </w:rPr>
      </w:r>
    </w:p>
    <w:p>
      <w:pPr>
        <w:pStyle w:val="Heading4"/>
        <w:spacing w:lineRule="auto" w:line="360" w:before="120" w:after="0"/>
        <w:ind w:hanging="0" w:start="0"/>
        <w:rPr/>
      </w:pPr>
      <w:r>
        <w:rPr/>
        <w:t xml:space="preserve">Hub Service  </w:t>
      </w:r>
      <w:r>
        <w:rPr>
          <w:b w:val="false"/>
          <w:i/>
          <w:u w:val="none"/>
        </w:rPr>
        <w:t>Section 4.1.3</w:t>
      </w:r>
    </w:p>
    <w:p>
      <w:pPr>
        <w:pStyle w:val="Normal"/>
        <w:rPr>
          <w:rFonts w:ascii="Book Antiqua" w:hAnsi="Book Antiqua" w:cs="Book Antiqua"/>
          <w:sz w:val="24"/>
        </w:rPr>
      </w:pPr>
      <w:r>
        <w:rPr>
          <w:rFonts w:cs="Book Antiqua" w:ascii="Book Antiqua" w:hAnsi="Book Antiqua"/>
          <w:sz w:val="24"/>
        </w:rPr>
        <w:t>One of the Commission's most promising options is to separate utility hub services from the procurement function.  The Comprehensive Settlement Agreement restricts SoCalGas Gas Acquisition Department’s hub activities to the storage assets allocated to it or purchased in the secondary market.  The Settlement also provides that SoCalGas may provide competing hub services with uncontracted for or unused storage capacity through the pipeline department of SoCalGas.  This hub would be completely separate from the Gas Acquisition Hub.  This pipeline hub service would operate on the same concept as the PG&amp;E Market Center.</w:t>
      </w:r>
    </w:p>
    <w:p>
      <w:pPr>
        <w:pStyle w:val="Normal"/>
        <w:rPr>
          <w:rFonts w:ascii="Book Antiqua" w:hAnsi="Book Antiqua" w:cs="Book Antiqua"/>
          <w:sz w:val="24"/>
        </w:rPr>
      </w:pPr>
      <w:r>
        <w:rPr>
          <w:rFonts w:cs="Book Antiqua" w:ascii="Book Antiqua" w:hAnsi="Book Antiqua"/>
          <w:sz w:val="24"/>
        </w:rPr>
      </w:r>
    </w:p>
    <w:p>
      <w:pPr>
        <w:pStyle w:val="Normal"/>
        <w:rPr>
          <w:rFonts w:ascii="Book Antiqua" w:hAnsi="Book Antiqua" w:cs="Book Antiqua"/>
          <w:sz w:val="24"/>
        </w:rPr>
      </w:pPr>
      <w:r>
        <w:rPr>
          <w:rFonts w:cs="Book Antiqua" w:ascii="Book Antiqua" w:hAnsi="Book Antiqua"/>
          <w:sz w:val="24"/>
        </w:rPr>
      </w:r>
    </w:p>
    <w:p>
      <w:pPr>
        <w:pStyle w:val="Heading4"/>
        <w:spacing w:lineRule="auto" w:line="360" w:before="120" w:after="0"/>
        <w:ind w:hanging="0" w:start="0"/>
        <w:rPr/>
      </w:pPr>
      <w:r>
        <w:rPr/>
        <w:t xml:space="preserve">Restructuring Core Interstate Capacity </w:t>
      </w:r>
      <w:r>
        <w:rPr>
          <w:b w:val="false"/>
          <w:i/>
          <w:u w:val="none"/>
        </w:rPr>
        <w:t>Section 5.3.3</w:t>
      </w:r>
    </w:p>
    <w:p>
      <w:pPr>
        <w:pStyle w:val="Normal"/>
        <w:rPr>
          <w:b/>
          <w:i/>
          <w:i/>
          <w:u w:val="none"/>
        </w:rPr>
      </w:pPr>
      <w:r>
        <w:rPr>
          <w:b/>
          <w:i/>
          <w:u w:val="none"/>
        </w:rPr>
      </w:r>
    </w:p>
    <w:p>
      <w:pPr>
        <w:pStyle w:val="WW-BodyText22"/>
        <w:spacing w:lineRule="auto" w:line="360"/>
        <w:ind w:hanging="0" w:end="0"/>
        <w:jc w:val="start"/>
        <w:rPr/>
      </w:pPr>
      <w:r>
        <w:rPr/>
        <w:t xml:space="preserve">The Commission recommended unbundling interstate pipeline capacity costs for core customers as soon as possible to foster competition in the core market.  The Comprehensive Settlement Agreement will allow CTAs to compete for market share by buying interstate capacity at market prices rather than the full FERC tariff rate..  The resulting price advantage compared to retail core service, combined with the retail settlement provisions discussed by SoCalGas witness Eric Nelson, will help to bring the benefits of CTA competition to the residential and small commercial customers who currently are largely excluded from core aggregation.  </w:t>
      </w:r>
    </w:p>
    <w:p>
      <w:pPr>
        <w:pStyle w:val="WW-BodyText22"/>
        <w:spacing w:lineRule="auto" w:line="360"/>
        <w:ind w:hanging="0" w:end="0"/>
        <w:jc w:val="start"/>
        <w:rPr/>
      </w:pPr>
      <w:r>
        <w:rPr/>
      </w:r>
    </w:p>
    <w:p>
      <w:pPr>
        <w:pStyle w:val="BodyText"/>
        <w:spacing w:lineRule="auto" w:line="360"/>
        <w:rPr/>
      </w:pPr>
      <w:r>
        <w:rPr/>
        <w:t xml:space="preserve">The Comprehensive Settlement Agreement ends the mandatory assignment of interstate pipeline capacity to CTA customers, and core responsibility for ITCS costs (see Section 5.3.3).  The stranded costs associated with the release of formerly CTA capacity are to be initially allocated equally to core and noncore customers, with caps on noncore responsibility of $2 million in calendar year 2000 and $5 million in calendar year 2001.  Any excess above the noncore caps would be allocated to CTA customers only.  From January 1, 2002 through the end of the settlement, the stranded costs resulting from the unbundling of core interstate capacity will be allocated entirely to core customers only.  Among the core subclasses, the OF stranded costs associated with the release of the first 7% of interstate capacity held for the core market will be allocated on an equal cents per therm basis.  The remaining stranded costs will be allocated to core subclasses in proportion to the share of CTA penetration in each class.  For instance if 70% of CTA volumes are in the core nonresidential subclasses, 70% of the remaining stranded costs will be allocated to core nonresidential customers.  This allocates the stranded costs to the customers who benefit from the CTA growth and competition.  (Section 5.3.3.5). </w:t>
      </w:r>
    </w:p>
    <w:p>
      <w:pPr>
        <w:pStyle w:val="WW-BodyText21"/>
        <w:spacing w:lineRule="auto" w:line="360"/>
        <w:ind w:start="0" w:end="0"/>
        <w:jc w:val="both"/>
        <w:rPr>
          <w:rFonts w:ascii="Book Antiqua" w:hAnsi="Book Antiqua" w:cs="Book Antiqua"/>
          <w:sz w:val="24"/>
        </w:rPr>
      </w:pPr>
      <w:r>
        <w:rPr>
          <w:rFonts w:cs="Book Antiqua" w:ascii="Book Antiqua" w:hAnsi="Book Antiqua"/>
          <w:sz w:val="24"/>
        </w:rPr>
      </w:r>
    </w:p>
    <w:p>
      <w:pPr>
        <w:pStyle w:val="WW-BodyText21"/>
        <w:spacing w:lineRule="auto" w:line="360"/>
        <w:ind w:start="0" w:end="0"/>
        <w:rPr>
          <w:rFonts w:ascii="Book Antiqua" w:hAnsi="Book Antiqua" w:cs="Book Antiqua"/>
          <w:sz w:val="24"/>
        </w:rPr>
      </w:pPr>
      <w:r>
        <w:rPr>
          <w:rFonts w:cs="Book Antiqua" w:ascii="Book Antiqua" w:hAnsi="Book Antiqua"/>
          <w:sz w:val="24"/>
        </w:rPr>
        <w:t>CTA will be able to compete for market share by purchasing cheaper, market-based interstate capacity.  The resulting CTA price advantage will be in the range of $0.20 - $0.30/Dth depending on the market price of replacement capacity, or  approximately 7% of the average core rate.  Such a noticeable price advantage will encourage greater market penetration across all segments of the core market and will encourage new participants to enter the core aggregation market, creating more choices for core customers, and increasing competition that will result in lower core rates.</w:t>
      </w:r>
    </w:p>
    <w:p>
      <w:pPr>
        <w:pStyle w:val="WW-BodyText21"/>
        <w:spacing w:lineRule="auto" w:line="360"/>
        <w:ind w:start="0" w:end="0"/>
        <w:rPr>
          <w:rFonts w:ascii="Book Antiqua" w:hAnsi="Book Antiqua" w:cs="Book Antiqua"/>
          <w:sz w:val="24"/>
        </w:rPr>
      </w:pPr>
      <w:r>
        <w:rPr>
          <w:rFonts w:cs="Book Antiqua" w:ascii="Book Antiqua" w:hAnsi="Book Antiqua"/>
          <w:sz w:val="24"/>
        </w:rPr>
      </w:r>
    </w:p>
    <w:p>
      <w:pPr>
        <w:pStyle w:val="BodyText"/>
        <w:rPr/>
      </w:pPr>
      <w:r>
        <w:rPr/>
        <w:t>The settlement provisions for core interstate capacity also complement the rest of the settlement by providing similar flexibility and choice to CTAs in managing upstream supplies as the other provisions offer for downstream supplies.  CTAs will be able to obtain interstate capacity at market prices, if they choose, and match it to backbone intrastate transmission reservations through the open season.  They could also purchase supplies at the border or at the Los Angeles citygate.  They will be able to choose among services or other unbundled storage services or other alternatives.  This flexibility gives market participants more tools to innovate in developing customized services, which will benefit customers.  Releasing CTAs from a mandatory assignment of interstate capacity will also reduce their costs, potentially creating savings for end-use customers.</w:t>
      </w:r>
    </w:p>
    <w:p>
      <w:pPr>
        <w:pStyle w:val="BodyText"/>
        <w:rPr/>
      </w:pPr>
      <w:r>
        <w:rPr/>
      </w:r>
    </w:p>
    <w:p>
      <w:pPr>
        <w:pStyle w:val="BodyText"/>
        <w:rPr/>
      </w:pPr>
      <w:r>
        <w:rPr/>
        <w:t>Core procurement customers also receive significant benefits from the settlement.  As of January 1, 2002, the core responsibility for traditional ITCS ends, and noncore customers will pay 100% of ITCS costs.  The core responsibility for ITCS costs would otherwise be in the range of about $8 - $10 million.  The net benefit to core procurement customers will depend on how much CTA market share grows (and thus the amount of core capacity unbundled.</w:t>
      </w:r>
    </w:p>
    <w:p>
      <w:pPr>
        <w:pStyle w:val="Normal"/>
        <w:spacing w:lineRule="auto" w:line="360" w:before="120" w:after="0"/>
        <w:rPr>
          <w:rFonts w:ascii="Book Antiqua" w:hAnsi="Book Antiqua" w:cs="Book Antiqua"/>
          <w:sz w:val="24"/>
        </w:rPr>
      </w:pPr>
      <w:r>
        <w:rPr>
          <w:rFonts w:cs="Book Antiqua" w:ascii="Book Antiqua" w:hAnsi="Book Antiqua"/>
          <w:sz w:val="24"/>
        </w:rPr>
      </w:r>
    </w:p>
    <w:p>
      <w:pPr>
        <w:pStyle w:val="Normal"/>
        <w:spacing w:lineRule="auto" w:line="360" w:before="120" w:after="0"/>
        <w:rPr>
          <w:rFonts w:ascii="Book Antiqua" w:hAnsi="Book Antiqua" w:cs="Book Antiqua"/>
          <w:sz w:val="24"/>
        </w:rPr>
      </w:pPr>
      <w:r>
        <w:rPr>
          <w:rFonts w:cs="Book Antiqua" w:ascii="Book Antiqua" w:hAnsi="Book Antiqua"/>
          <w:sz w:val="24"/>
        </w:rPr>
      </w:r>
    </w:p>
    <w:p>
      <w:pPr>
        <w:pStyle w:val="Heading5"/>
        <w:spacing w:lineRule="auto" w:line="360" w:before="120" w:after="0"/>
        <w:ind w:hanging="0" w:start="0"/>
        <w:jc w:val="center"/>
        <w:rPr>
          <w:b/>
        </w:rPr>
      </w:pPr>
      <w:r>
        <w:rPr>
          <w:b/>
        </w:rPr>
        <w:t>Restructuring Information Sharing</w:t>
      </w:r>
    </w:p>
    <w:p>
      <w:pPr>
        <w:pStyle w:val="BodyText"/>
        <w:spacing w:lineRule="auto" w:line="360"/>
        <w:rPr>
          <w:i/>
          <w:i/>
        </w:rPr>
      </w:pPr>
      <w:r>
        <w:rPr>
          <w:i/>
        </w:rPr>
        <w:t>Summary</w:t>
      </w:r>
    </w:p>
    <w:p>
      <w:pPr>
        <w:pStyle w:val="BodyText"/>
        <w:spacing w:lineRule="auto" w:line="360"/>
        <w:rPr/>
      </w:pPr>
      <w:r>
        <w:rPr/>
        <w:t xml:space="preserve">The Comprehensive Settlement Agreement meets the following information sharing most promising options:  (1) Real-time consumption data is provided; (2) Additional capacity transaction details will be provided to the marketplace; (3) A utility electronic bulletin board will facilitate secondary market transactions; and (4) Pipeline operator demand forecasts will be provided. </w:t>
      </w:r>
    </w:p>
    <w:p>
      <w:pPr>
        <w:pStyle w:val="BodyText"/>
        <w:spacing w:lineRule="auto" w:line="360"/>
        <w:rPr/>
      </w:pPr>
      <w:r>
        <w:rPr/>
      </w:r>
    </w:p>
    <w:p>
      <w:pPr>
        <w:pStyle w:val="Normal"/>
        <w:spacing w:lineRule="auto" w:line="360"/>
        <w:rPr>
          <w:rFonts w:ascii="Book Antiqua" w:hAnsi="Book Antiqua" w:cs="Book Antiqua"/>
          <w:sz w:val="24"/>
          <w:u w:val="single"/>
        </w:rPr>
      </w:pPr>
      <w:r>
        <w:rPr>
          <w:rFonts w:cs="Book Antiqua" w:ascii="Book Antiqua" w:hAnsi="Book Antiqua"/>
          <w:sz w:val="24"/>
          <w:u w:val="single"/>
        </w:rPr>
        <w:t>1.  Real-time, customer-specific information</w:t>
      </w:r>
    </w:p>
    <w:p>
      <w:pPr>
        <w:pStyle w:val="Normal"/>
        <w:spacing w:lineRule="auto" w:line="360"/>
        <w:rPr>
          <w:rFonts w:ascii="Book Antiqua" w:hAnsi="Book Antiqua" w:cs="Book Antiqua"/>
          <w:sz w:val="24"/>
        </w:rPr>
      </w:pPr>
      <w:r>
        <w:rPr>
          <w:rFonts w:cs="Book Antiqua" w:ascii="Book Antiqua" w:hAnsi="Book Antiqua"/>
          <w:sz w:val="24"/>
        </w:rPr>
        <w:t>Currently, noncore customers, or their authorized agents, have access to their consumption data on a daily basis.  Access to this daily data is available on-line through the GasSelect system or it can be downloaded for further analysis.  Noncore customers also have the option, at their own expense, to have SoCalGas install devices allowing real-time access to their consumption data.</w:t>
      </w:r>
    </w:p>
    <w:p>
      <w:pPr>
        <w:pStyle w:val="Normal"/>
        <w:spacing w:lineRule="auto" w:line="360"/>
        <w:rPr>
          <w:rFonts w:ascii="Book Antiqua" w:hAnsi="Book Antiqua" w:cs="Book Antiqua"/>
          <w:sz w:val="24"/>
        </w:rPr>
      </w:pPr>
      <w:r>
        <w:rPr>
          <w:rFonts w:cs="Book Antiqua" w:ascii="Book Antiqua" w:hAnsi="Book Antiqua"/>
          <w:sz w:val="24"/>
        </w:rPr>
      </w:r>
    </w:p>
    <w:p>
      <w:pPr>
        <w:pStyle w:val="Normal"/>
        <w:spacing w:lineRule="auto" w:line="360" w:before="60" w:after="0"/>
        <w:rPr>
          <w:rFonts w:ascii="Book Antiqua" w:hAnsi="Book Antiqua" w:cs="Book Antiqua"/>
          <w:sz w:val="24"/>
        </w:rPr>
      </w:pPr>
      <w:r>
        <w:rPr>
          <w:rFonts w:cs="Book Antiqua" w:ascii="Book Antiqua" w:hAnsi="Book Antiqua"/>
          <w:sz w:val="24"/>
        </w:rPr>
        <w:t xml:space="preserve">Since, SoCalGas’ noncore customers are generally satisfied with their current access to customer-specific usage data, the Comprehensive Settlement Agreement requires SoCalGas to continue to offer those services and to ensure that customers are aware of their current meter access options through SoCalGas' web site. </w:t>
      </w:r>
    </w:p>
    <w:p>
      <w:pPr>
        <w:pStyle w:val="Normal"/>
        <w:spacing w:lineRule="auto" w:line="360" w:before="60" w:after="0"/>
        <w:rPr>
          <w:rFonts w:ascii="Book Antiqua" w:hAnsi="Book Antiqua" w:cs="Book Antiqua"/>
          <w:sz w:val="24"/>
        </w:rPr>
      </w:pPr>
      <w:r>
        <w:rPr>
          <w:rFonts w:cs="Book Antiqua" w:ascii="Book Antiqua" w:hAnsi="Book Antiqua"/>
          <w:sz w:val="24"/>
        </w:rPr>
      </w:r>
    </w:p>
    <w:p>
      <w:pPr>
        <w:pStyle w:val="Bullet3"/>
        <w:spacing w:lineRule="auto" w:line="360"/>
        <w:ind w:hanging="0" w:start="0" w:end="0"/>
        <w:rPr>
          <w:rFonts w:ascii="Book Antiqua" w:hAnsi="Book Antiqua" w:cs="Book Antiqua"/>
        </w:rPr>
      </w:pPr>
      <w:r>
        <w:rPr>
          <w:rFonts w:cs="Book Antiqua" w:ascii="Book Antiqua" w:hAnsi="Book Antiqua"/>
        </w:rPr>
        <w:t>2</w:t>
      </w:r>
      <w:r>
        <w:rPr>
          <w:rFonts w:cs="Book Antiqua" w:ascii="Book Antiqua" w:hAnsi="Book Antiqua"/>
          <w:u w:val="single"/>
        </w:rPr>
        <w:t>.  Additional Information on Capacity Transactions</w:t>
      </w:r>
    </w:p>
    <w:p>
      <w:pPr>
        <w:pStyle w:val="Bullet3"/>
        <w:spacing w:lineRule="auto" w:line="360"/>
        <w:ind w:hanging="0" w:start="0" w:end="0"/>
        <w:rPr>
          <w:rFonts w:ascii="Book Antiqua" w:hAnsi="Book Antiqua" w:cs="Book Antiqua"/>
        </w:rPr>
      </w:pPr>
      <w:r>
        <w:rPr>
          <w:rFonts w:cs="Book Antiqua" w:ascii="Book Antiqua" w:hAnsi="Book Antiqua"/>
        </w:rPr>
        <w:t>For the period from October 1, 2001, through the end of the term of this Comprehensive Settlement Agreement, SoCalGas will file with the Commission, and post on GasSelect, a monthly negotiated Backbone Transmission contract report.  The report will list the details, but not customer names, of all negotiated capacity transactions for firm and interruptible intrastate backbone transportation.  This report will be in addition to the reporting requirements for transportation transactions by SoCalGas with affiliates imposed by the affiliate transaction rules or the merger conditions  (D.98-03-073).</w:t>
      </w:r>
    </w:p>
    <w:p>
      <w:pPr>
        <w:pStyle w:val="Bullet3"/>
        <w:spacing w:lineRule="auto" w:line="360"/>
        <w:ind w:hanging="0" w:start="0" w:end="0"/>
        <w:rPr>
          <w:rFonts w:ascii="Book Antiqua" w:hAnsi="Book Antiqua" w:cs="Book Antiqua"/>
        </w:rPr>
      </w:pPr>
      <w:r>
        <w:rPr>
          <w:rFonts w:cs="Book Antiqua" w:ascii="Book Antiqua" w:hAnsi="Book Antiqua"/>
        </w:rPr>
      </w:r>
    </w:p>
    <w:p>
      <w:pPr>
        <w:pStyle w:val="Bullet3"/>
        <w:spacing w:lineRule="auto" w:line="360"/>
        <w:ind w:hanging="0" w:start="0" w:end="0"/>
        <w:rPr>
          <w:rFonts w:ascii="Book Antiqua" w:hAnsi="Book Antiqua" w:cs="Book Antiqua"/>
          <w:i/>
          <w:i/>
        </w:rPr>
      </w:pPr>
      <w:r>
        <w:rPr>
          <w:rFonts w:cs="Book Antiqua" w:ascii="Book Antiqua" w:hAnsi="Book Antiqua"/>
        </w:rPr>
        <w:t>Under the Comprehensive Settlement Agreement, effective April 1, 2001 storage services will be provided through open seasons or through subsequent negotiated contracts.  For the open seasons and for negotiated storage contracts executed between April 1, 2001 and March 31, 2003, SoCalGas will file with the Commission, and post on its GasSelect system, a quarterly report open to the public on negotiated storage contracts in effect that lists the quantity, price and term (but not contracting party name) of all negotiated storage contracts.  For negotiated contracts executed on and after April 1, 2003, SoCalGas will file, and post on GasSelect the same information, but excluding the price.  Nothing in the Comprehensive Settlement Agreement changes the reporting requirements for storage transactions by SoCalGas with affiliates imposed by the affiliate transaction rules or the merger conditions (D.98-03-073).</w:t>
      </w:r>
    </w:p>
    <w:p>
      <w:pPr>
        <w:pStyle w:val="Normal"/>
        <w:spacing w:lineRule="auto" w:line="360" w:before="60" w:after="0"/>
        <w:rPr>
          <w:rFonts w:ascii="Book Antiqua" w:hAnsi="Book Antiqua" w:cs="Book Antiqua"/>
          <w:i/>
          <w:i/>
          <w:sz w:val="24"/>
        </w:rPr>
      </w:pPr>
      <w:r>
        <w:rPr>
          <w:rFonts w:cs="Book Antiqua" w:ascii="Book Antiqua" w:hAnsi="Book Antiqua"/>
          <w:i/>
          <w:sz w:val="24"/>
        </w:rPr>
      </w:r>
    </w:p>
    <w:p>
      <w:pPr>
        <w:pStyle w:val="Normal"/>
        <w:spacing w:lineRule="auto" w:line="360"/>
        <w:rPr>
          <w:rFonts w:ascii="Book Antiqua" w:hAnsi="Book Antiqua" w:cs="Book Antiqua"/>
          <w:i/>
          <w:i/>
          <w:sz w:val="24"/>
          <w:u w:val="single"/>
        </w:rPr>
      </w:pPr>
      <w:r>
        <w:rPr>
          <w:rFonts w:cs="Book Antiqua" w:ascii="Book Antiqua" w:hAnsi="Book Antiqua"/>
          <w:sz w:val="24"/>
          <w:u w:val="single"/>
        </w:rPr>
        <w:t xml:space="preserve">3. Electronic Bulletin Board Facilitation of Capacity Secondary Markets  </w:t>
      </w:r>
    </w:p>
    <w:p>
      <w:pPr>
        <w:pStyle w:val="Bullet3"/>
        <w:spacing w:lineRule="auto" w:line="360"/>
        <w:ind w:hanging="0" w:start="0" w:end="0"/>
        <w:rPr>
          <w:rFonts w:ascii="Book Antiqua" w:hAnsi="Book Antiqua" w:cs="Book Antiqua"/>
        </w:rPr>
      </w:pPr>
      <w:r>
        <w:rPr>
          <w:rFonts w:cs="Book Antiqua" w:ascii="Book Antiqua" w:hAnsi="Book Antiqua"/>
        </w:rPr>
        <w:t>SoCalGas will facilitate a voluntary and anonymous secondary market trading system for firm intrastate Backbone Transmission capacity and storage rights as part of a sole-source contract with ALTRA.  The ALTRA system will allow for market liquidity, require a user fee to offset costs and will interface with the GasSelect system to incorporate all transactions completed on the ALTRA system or completed through private negotiation.  The ALTRA system for SoCalGas will also promote statewide consistency since the same system is to be utilized in Northern California.</w:t>
      </w:r>
    </w:p>
    <w:p>
      <w:pPr>
        <w:pStyle w:val="Bullet3"/>
        <w:spacing w:lineRule="auto" w:line="360"/>
        <w:ind w:hanging="0" w:start="0" w:end="0"/>
        <w:rPr>
          <w:rFonts w:ascii="Book Antiqua" w:hAnsi="Book Antiqua" w:cs="Book Antiqua"/>
        </w:rPr>
      </w:pPr>
      <w:r>
        <w:rPr>
          <w:rFonts w:cs="Book Antiqua" w:ascii="Book Antiqua" w:hAnsi="Book Antiqua"/>
        </w:rPr>
      </w:r>
    </w:p>
    <w:p>
      <w:pPr>
        <w:pStyle w:val="Bullet3"/>
        <w:spacing w:lineRule="auto" w:line="360"/>
        <w:ind w:hanging="0" w:start="0" w:end="0"/>
        <w:rPr>
          <w:rFonts w:ascii="Book Antiqua" w:hAnsi="Book Antiqua" w:cs="Book Antiqua"/>
        </w:rPr>
      </w:pPr>
      <w:r>
        <w:rPr>
          <w:rFonts w:cs="Book Antiqua" w:ascii="Book Antiqua" w:hAnsi="Book Antiqua"/>
        </w:rPr>
        <w:t>Customers that use and monitor the trading of Backbone Transmission and storage rights facilitated by the ALTRA platform will derive benefits, through the gathering of many market participants in one location.  The ALTRA system will post a summary of completed transactions, listing transaction term and conditions (excluding customer names).</w:t>
      </w:r>
    </w:p>
    <w:p>
      <w:pPr>
        <w:pStyle w:val="Bullet3"/>
        <w:spacing w:lineRule="auto" w:line="360"/>
        <w:ind w:hanging="0" w:start="0" w:end="0"/>
        <w:rPr>
          <w:rFonts w:ascii="Book Antiqua" w:hAnsi="Book Antiqua" w:cs="Book Antiqua"/>
        </w:rPr>
      </w:pPr>
      <w:r>
        <w:rPr>
          <w:rFonts w:cs="Book Antiqua" w:ascii="Book Antiqua" w:hAnsi="Book Antiqua"/>
        </w:rPr>
      </w:r>
    </w:p>
    <w:p>
      <w:pPr>
        <w:pStyle w:val="Bullet3"/>
        <w:spacing w:lineRule="auto" w:line="360"/>
        <w:ind w:hanging="0" w:start="0" w:end="0"/>
        <w:rPr>
          <w:rFonts w:ascii="Book Antiqua" w:hAnsi="Book Antiqua" w:cs="Book Antiqua"/>
          <w:u w:val="single"/>
        </w:rPr>
      </w:pPr>
      <w:r>
        <w:rPr>
          <w:rFonts w:cs="Book Antiqua" w:ascii="Book Antiqua" w:hAnsi="Book Antiqua"/>
          <w:u w:val="single"/>
        </w:rPr>
        <w:t>4.  Demand Forecasts by Customer Class</w:t>
      </w:r>
    </w:p>
    <w:p>
      <w:pPr>
        <w:pStyle w:val="Heading1"/>
        <w:spacing w:lineRule="auto" w:line="360"/>
        <w:ind w:hanging="0" w:start="0"/>
        <w:rPr>
          <w:rFonts w:ascii="Book Antiqua" w:hAnsi="Book Antiqua" w:cs="Book Antiqua"/>
          <w:b w:val="false"/>
          <w:sz w:val="24"/>
        </w:rPr>
      </w:pPr>
      <w:r>
        <w:rPr>
          <w:rFonts w:cs="Book Antiqua" w:ascii="Book Antiqua" w:hAnsi="Book Antiqua"/>
          <w:b w:val="false"/>
          <w:sz w:val="24"/>
        </w:rPr>
        <w:t>The Comprehensive Settlement Agreement requires SoCalGas to post operating information that is at least as extensive as PG&amp;E is required to post pursuant to its OFO Settlement filed on October 22, 1999, in I.99-07-003, and since approved by the Commission in Decision D.________.  Of significant importance to parties operating on both the SoCalGas and PG&amp;E systems, data elements will be formatted for display in the same general configuration.  Since many of the data elements contained in the operating information were already displayed, but in a different format, it will be easier to analyze the data as parties move from one system to the next.  SoCalGas will also provide, on an after-the-fact basis on the GasSelect system, sufficient data by customer class to allow parties to analyze the reasons that particular OFOs events were called.  By providing this extensive set of operating information customers will be benefit because they will be able to independently analyze and make current and future operational decisions based on the data provided.  Use of same configuration and format display also promotes statewide consistency.</w:t>
      </w:r>
    </w:p>
    <w:p>
      <w:pPr>
        <w:pStyle w:val="Bullet3"/>
        <w:spacing w:lineRule="auto" w:line="360"/>
        <w:ind w:hanging="0" w:start="0" w:end="0"/>
        <w:rPr>
          <w:rFonts w:ascii="Book Antiqua" w:hAnsi="Book Antiqua" w:cs="Book Antiqua"/>
          <w:b/>
          <w:sz w:val="24"/>
        </w:rPr>
      </w:pPr>
      <w:r>
        <w:rPr>
          <w:rFonts w:cs="Book Antiqua" w:ascii="Book Antiqua" w:hAnsi="Book Antiqua"/>
          <w:b/>
          <w:sz w:val="24"/>
        </w:rPr>
      </w:r>
    </w:p>
    <w:p>
      <w:pPr>
        <w:pStyle w:val="Bullet3"/>
        <w:spacing w:lineRule="auto" w:line="360"/>
        <w:ind w:hanging="0" w:start="0" w:end="0"/>
        <w:rPr>
          <w:rFonts w:ascii="Book Antiqua" w:hAnsi="Book Antiqua" w:cs="Book Antiqua"/>
        </w:rPr>
      </w:pPr>
      <w:r>
        <w:rPr>
          <w:rFonts w:cs="Book Antiqua" w:ascii="Book Antiqua" w:hAnsi="Book Antiqua"/>
        </w:rPr>
      </w:r>
    </w:p>
    <w:p>
      <w:pPr>
        <w:pStyle w:val="Bullet3"/>
        <w:spacing w:lineRule="auto" w:line="360"/>
        <w:ind w:hanging="0" w:start="0" w:end="0"/>
        <w:jc w:val="center"/>
        <w:rPr>
          <w:rFonts w:ascii="Book Antiqua" w:hAnsi="Book Antiqua" w:cs="Book Antiqua"/>
        </w:rPr>
      </w:pPr>
      <w:r>
        <w:rPr>
          <w:rFonts w:cs="Book Antiqua" w:ascii="Book Antiqua" w:hAnsi="Book Antiqua"/>
          <w:b/>
          <w:u w:val="single"/>
        </w:rPr>
        <w:t>Rate Impacts</w:t>
      </w:r>
    </w:p>
    <w:p>
      <w:pPr>
        <w:pStyle w:val="Bullet3"/>
        <w:spacing w:lineRule="auto" w:line="360"/>
        <w:ind w:hanging="0" w:start="0" w:end="0"/>
        <w:rPr>
          <w:rFonts w:ascii="Book Antiqua" w:hAnsi="Book Antiqua" w:cs="Book Antiqua"/>
        </w:rPr>
      </w:pPr>
      <w:r>
        <w:rPr>
          <w:rFonts w:cs="Book Antiqua" w:ascii="Book Antiqua" w:hAnsi="Book Antiqua"/>
        </w:rPr>
        <w:t>The sum total impact of all the changes in the capacity section of the Comprehensive Settlement Agreement, relative to the 1999 BCAP Decision (adjusted to year 2002), are provided in Exhibit 7.  In total, core customers see slightly over a $7 million decrease and noncore customers see slightly over $7 million increase.  The main reason for this is that the core’s current responsibility for traditional ITCS costs , estimated at $7.5 million, is eliminated.  The quid pro quo for this “cost shift” is that the stranded costs resulting from core interstate capacity unbundling remain with core customers after 2001.  These rate impacts assume that SoCalGas fully recovers the embedded cost of its unbundled and transmission.  Potentially significant secondary market revenues to the retail core may be understated.  Finally, to the extent these assumptions are not true, the ratepayer benefits of the Comprehensive Settlement Agreement are understated.</w:t>
      </w:r>
    </w:p>
    <w:p>
      <w:pPr>
        <w:pStyle w:val="Bullet3"/>
        <w:spacing w:lineRule="auto" w:line="360"/>
        <w:ind w:hanging="0" w:start="0" w:end="0"/>
        <w:rPr>
          <w:rFonts w:ascii="Book Antiqua" w:hAnsi="Book Antiqua" w:cs="Book Antiqua"/>
        </w:rPr>
      </w:pPr>
      <w:r>
        <w:rPr>
          <w:rFonts w:cs="Book Antiqua" w:ascii="Book Antiqua" w:hAnsi="Book Antiqua"/>
        </w:rPr>
      </w:r>
    </w:p>
    <w:p>
      <w:pPr>
        <w:pStyle w:val="Heading6"/>
        <w:spacing w:lineRule="auto" w:line="360"/>
        <w:ind w:hanging="0" w:start="0"/>
        <w:rPr>
          <w:u w:val="single"/>
        </w:rPr>
      </w:pPr>
      <w:r>
        <w:rPr>
          <w:u w:val="single"/>
        </w:rPr>
        <w:t>Restructuring Implementation Timing</w:t>
      </w:r>
    </w:p>
    <w:p>
      <w:pPr>
        <w:pStyle w:val="Normal"/>
        <w:spacing w:lineRule="auto" w:line="360"/>
        <w:rPr>
          <w:rFonts w:ascii="Book Antiqua" w:hAnsi="Book Antiqua" w:cs="Book Antiqua"/>
          <w:i/>
          <w:i/>
          <w:sz w:val="24"/>
        </w:rPr>
      </w:pPr>
      <w:r>
        <w:rPr>
          <w:rFonts w:cs="Book Antiqua" w:ascii="Book Antiqua" w:hAnsi="Book Antiqua"/>
          <w:i/>
          <w:sz w:val="24"/>
        </w:rPr>
        <w:t>Summary</w:t>
      </w:r>
    </w:p>
    <w:p>
      <w:pPr>
        <w:pStyle w:val="Normal"/>
        <w:spacing w:lineRule="auto" w:line="360"/>
        <w:rPr>
          <w:rFonts w:ascii="Book Antiqua" w:hAnsi="Book Antiqua" w:cs="Book Antiqua"/>
          <w:sz w:val="24"/>
        </w:rPr>
      </w:pPr>
      <w:r>
        <w:rPr>
          <w:rFonts w:cs="Book Antiqua" w:ascii="Book Antiqua" w:hAnsi="Book Antiqua"/>
          <w:sz w:val="24"/>
        </w:rPr>
        <w:t xml:space="preserve">The implementation of the Comprehensive Settlement Agreement will be completed in three Phases.  The first Phase will address those issues that can be addressed as soon as the Commission approves the Comprehensive Settlement Agreement.  The second phase makes major changes to our balancing and storage services.  The third phase restructures the intrastate transmission system.  </w:t>
      </w:r>
    </w:p>
    <w:p>
      <w:pPr>
        <w:pStyle w:val="Normal"/>
        <w:spacing w:lineRule="auto" w:line="360"/>
        <w:rPr>
          <w:rFonts w:ascii="Book Antiqua" w:hAnsi="Book Antiqua" w:cs="Book Antiqua"/>
          <w:sz w:val="24"/>
        </w:rPr>
      </w:pPr>
      <w:r>
        <w:rPr>
          <w:rFonts w:cs="Book Antiqua" w:ascii="Book Antiqua" w:hAnsi="Book Antiqua"/>
          <w:sz w:val="24"/>
        </w:rPr>
      </w:r>
    </w:p>
    <w:p>
      <w:pPr>
        <w:pStyle w:val="Heading4"/>
        <w:spacing w:lineRule="auto" w:line="360"/>
        <w:ind w:hanging="0" w:start="0"/>
        <w:jc w:val="start"/>
        <w:rPr>
          <w:b w:val="false"/>
        </w:rPr>
      </w:pPr>
      <w:r>
        <w:rPr>
          <w:b w:val="false"/>
        </w:rPr>
        <w:t>Phase I</w:t>
      </w:r>
    </w:p>
    <w:p>
      <w:pPr>
        <w:pStyle w:val="Normal"/>
        <w:spacing w:lineRule="auto" w:line="360"/>
        <w:rPr>
          <w:rFonts w:ascii="Book Antiqua" w:hAnsi="Book Antiqua" w:cs="Book Antiqua"/>
          <w:sz w:val="24"/>
        </w:rPr>
      </w:pPr>
      <w:r>
        <w:rPr>
          <w:rFonts w:cs="Book Antiqua" w:ascii="Book Antiqua" w:hAnsi="Book Antiqua"/>
          <w:sz w:val="24"/>
        </w:rPr>
        <w:t>Phase I of the Comprehensive Settlement Agreement implementation will begin upon Commission approval.  In Phase I SoCalGas will replace Windows, establish Hector Road as a primary receipt point, unbundle interstate capacity for CTA customers, increase information disclosure, unbundle non-reliability storage for CTAs, and implement pooling at receipt points.</w:t>
      </w:r>
    </w:p>
    <w:p>
      <w:pPr>
        <w:pStyle w:val="Normal"/>
        <w:spacing w:lineRule="auto" w:line="360"/>
        <w:rPr>
          <w:rFonts w:ascii="Book Antiqua" w:hAnsi="Book Antiqua" w:cs="Book Antiqua"/>
          <w:sz w:val="24"/>
        </w:rPr>
      </w:pPr>
      <w:r>
        <w:rPr>
          <w:rFonts w:cs="Book Antiqua" w:ascii="Book Antiqua" w:hAnsi="Book Antiqua"/>
          <w:sz w:val="24"/>
        </w:rPr>
      </w:r>
    </w:p>
    <w:p>
      <w:pPr>
        <w:pStyle w:val="Heading4"/>
        <w:spacing w:lineRule="auto" w:line="360"/>
        <w:ind w:hanging="0" w:start="0"/>
        <w:jc w:val="start"/>
        <w:rPr>
          <w:b w:val="false"/>
        </w:rPr>
      </w:pPr>
      <w:r>
        <w:rPr>
          <w:b w:val="false"/>
        </w:rPr>
        <w:t>Phase II</w:t>
      </w:r>
    </w:p>
    <w:p>
      <w:pPr>
        <w:pStyle w:val="BodyText"/>
        <w:spacing w:lineRule="auto" w:line="360"/>
        <w:rPr/>
      </w:pPr>
      <w:r>
        <w:rPr/>
        <w:t>Phase II implementation will begin April 1, 2001, just six months after Phase I implementation.  Phase II implementation will include a reduction in the total core storage reservation, replace current SoCalGas balancing procedures with OFOs, provide for the trading of OFO imbalances and rights, unbundle the reliability portion of storage for CTAs, unbundle balancing services and allow for a self-balancing option, create secondary markets for storage customers, and institute a market participant OFO Forum.</w:t>
      </w:r>
    </w:p>
    <w:p>
      <w:pPr>
        <w:pStyle w:val="Normal"/>
        <w:spacing w:lineRule="auto" w:line="360"/>
        <w:rPr>
          <w:rFonts w:ascii="Book Antiqua" w:hAnsi="Book Antiqua" w:cs="Book Antiqua"/>
          <w:sz w:val="24"/>
        </w:rPr>
      </w:pPr>
      <w:r>
        <w:rPr>
          <w:rFonts w:cs="Book Antiqua" w:ascii="Book Antiqua" w:hAnsi="Book Antiqua"/>
          <w:sz w:val="24"/>
        </w:rPr>
      </w:r>
    </w:p>
    <w:p>
      <w:pPr>
        <w:pStyle w:val="Normal"/>
        <w:spacing w:lineRule="auto" w:line="360"/>
        <w:rPr>
          <w:rFonts w:ascii="Book Antiqua" w:hAnsi="Book Antiqua" w:cs="Book Antiqua"/>
          <w:sz w:val="24"/>
        </w:rPr>
      </w:pPr>
      <w:r>
        <w:rPr>
          <w:rFonts w:cs="Book Antiqua" w:ascii="Book Antiqua" w:hAnsi="Book Antiqua"/>
          <w:sz w:val="24"/>
        </w:rPr>
        <w:t>Phase II requires extensive system changes and the contracting with ALTRA for the development of an electronic secondary market anonymous trading platform for storage rights, monthly imbalances and OFO chip trading, which will be done exclusively on the ALTRA system.  Further, with the addition of self-balancing, separate balancing by customer classes and secondary market trading of storage rights extensive billing system changes will be required.  It is also appropriate to allow customers to get used to the changes implemented in Phase I and II, before completing the major changes in Phase III.</w:t>
      </w:r>
    </w:p>
    <w:p>
      <w:pPr>
        <w:pStyle w:val="Normal"/>
        <w:spacing w:lineRule="auto" w:line="360"/>
        <w:rPr>
          <w:rFonts w:ascii="Book Antiqua" w:hAnsi="Book Antiqua" w:cs="Book Antiqua"/>
          <w:sz w:val="24"/>
        </w:rPr>
      </w:pPr>
      <w:r>
        <w:rPr>
          <w:rFonts w:cs="Book Antiqua" w:ascii="Book Antiqua" w:hAnsi="Book Antiqua"/>
          <w:sz w:val="24"/>
        </w:rPr>
      </w:r>
    </w:p>
    <w:p>
      <w:pPr>
        <w:pStyle w:val="Heading4"/>
        <w:spacing w:lineRule="auto" w:line="360"/>
        <w:ind w:hanging="0" w:start="0"/>
        <w:jc w:val="start"/>
        <w:rPr>
          <w:b w:val="false"/>
        </w:rPr>
      </w:pPr>
      <w:r>
        <w:rPr>
          <w:b w:val="false"/>
        </w:rPr>
        <w:t>Phase III</w:t>
      </w:r>
    </w:p>
    <w:p>
      <w:pPr>
        <w:pStyle w:val="Heading2"/>
        <w:spacing w:lineRule="auto" w:line="360"/>
        <w:ind w:hanging="0" w:start="0"/>
        <w:rPr>
          <w:rFonts w:ascii="Book Antiqua" w:hAnsi="Book Antiqua" w:cs="Book Antiqua"/>
          <w:b w:val="false"/>
          <w:i w:val="false"/>
          <w:i w:val="false"/>
        </w:rPr>
      </w:pPr>
      <w:r>
        <w:rPr>
          <w:rFonts w:cs="Book Antiqua" w:ascii="Book Antiqua" w:hAnsi="Book Antiqua"/>
          <w:b w:val="false"/>
          <w:i w:val="false"/>
        </w:rPr>
        <w:t>Phase III implementation begins October 1, 2001, just six months after implementation of Phase II.  In Phase III SoCalGas complete the major task of restructuring our intrastate transmission system, provide for secondary market trading of Backbone Transmission rights, add pooling service at the Los Angeles City Gates.</w:t>
      </w:r>
    </w:p>
    <w:p>
      <w:pPr>
        <w:pStyle w:val="Normal"/>
        <w:spacing w:lineRule="auto" w:line="360"/>
        <w:rPr>
          <w:rFonts w:ascii="Book Antiqua" w:hAnsi="Book Antiqua" w:cs="Book Antiqua"/>
          <w:b/>
          <w:i/>
          <w:i/>
          <w:sz w:val="24"/>
        </w:rPr>
      </w:pPr>
      <w:r>
        <w:rPr>
          <w:rFonts w:cs="Book Antiqua" w:ascii="Book Antiqua" w:hAnsi="Book Antiqua"/>
          <w:b/>
          <w:i/>
          <w:sz w:val="24"/>
        </w:rPr>
      </w:r>
    </w:p>
    <w:p>
      <w:pPr>
        <w:pStyle w:val="Normal"/>
        <w:spacing w:lineRule="auto" w:line="360"/>
        <w:rPr>
          <w:rFonts w:ascii="Book Antiqua" w:hAnsi="Book Antiqua" w:cs="Book Antiqua"/>
          <w:sz w:val="24"/>
        </w:rPr>
      </w:pPr>
      <w:r>
        <w:rPr>
          <w:rFonts w:cs="Book Antiqua" w:ascii="Book Antiqua" w:hAnsi="Book Antiqua"/>
          <w:sz w:val="24"/>
        </w:rPr>
        <w:t xml:space="preserve">The creation of Backbone Transmission rights at receipt points will be a major event for our customers and will require a three-phase open season process.  Customers will want a complete educational process on the open season and will desire sufficient time between each open season phase to make prudent decisions on their intrastate backbone capacity needs.  The development of a secondary market for Backbone Transmission rights will again be contracted out to the ALTRA system and the development of pools at the city gate will require a major computer and billing system changes.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Book Antiqua">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Book Antiqua" w:hAnsi="Book Antiqua" w:cs="Book Antiqua"/>
        <w:sz w:val="24"/>
      </w:rPr>
    </w:pPr>
    <w:r>
      <w:rPr>
        <w:rFonts w:cs="Book Antiqua" w:ascii="Book Antiqua" w:hAnsi="Book Antiqua"/>
        <w:sz w:val="24"/>
      </w:rPr>
    </w:r>
    <w:r>
      <mc:AlternateContent>
        <mc:Choice Requires="wps">
          <w:drawing>
            <wp:anchor behindDoc="0" distT="0" distB="0" distL="0" distR="0" simplePos="0" locked="0" layoutInCell="0" allowOverlap="1" relativeHeight="27">
              <wp:simplePos x="0" y="0"/>
              <wp:positionH relativeFrom="margin">
                <wp:align>right</wp:align>
              </wp:positionH>
              <wp:positionV relativeFrom="paragraph">
                <wp:posOffset>635</wp:posOffset>
              </wp:positionV>
              <wp:extent cx="5715000" cy="567690"/>
              <wp:effectExtent l="0" t="0" r="0" b="0"/>
              <wp:wrapSquare wrapText="bothSides"/>
              <wp:docPr id="5" name="Frame1"/>
              <a:graphic xmlns:a="http://schemas.openxmlformats.org/drawingml/2006/main">
                <a:graphicData uri="http://schemas.microsoft.com/office/word/2010/wordprocessingShape">
                  <wps:wsp>
                    <wps:cNvSpPr txBox="1"/>
                    <wps:spPr>
                      <a:xfrm>
                        <a:off x="0" y="0"/>
                        <a:ext cx="5715000" cy="567690"/>
                      </a:xfrm>
                      <a:prstGeom prst="rect"/>
                      <a:solidFill>
                        <a:srgbClr val="FFFFFF">
                          <a:alpha val="0"/>
                        </a:srgbClr>
                      </a:solidFill>
                    </wps:spPr>
                    <wps:txbx>
                      <w:txbxContent>
                        <w:p>
                          <w:pPr>
                            <w:pStyle w:val="Footer"/>
                            <w:rPr>
                              <w:rStyle w:val="PageNumber"/>
                            </w:rPr>
                          </w:pPr>
                          <w:r>
                            <w:rPr>
                              <w:rStyle w:val="PageNumber"/>
                            </w:rPr>
                            <w:tab/>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ind w:end="360"/>
                            <w:rPr>
                              <w:rStyle w:val="PageNumber"/>
                              <w:sz w:val="20"/>
                            </w:rPr>
                          </w:pPr>
                          <w:r>
                            <w:rPr/>
                          </w:r>
                        </w:p>
                      </w:txbxContent>
                    </wps:txbx>
                    <wps:bodyPr anchor="t" lIns="0" tIns="0" rIns="0" bIns="0">
                      <a:noAutofit/>
                    </wps:bodyPr>
                  </wps:wsp>
                </a:graphicData>
              </a:graphic>
            </wp:anchor>
          </w:drawing>
        </mc:Choice>
        <mc:Fallback>
          <w:pict>
            <v:rect fillcolor="#FFFFFF" style="position:absolute;rotation:-0;width:450pt;height:44.7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rStyle w:val="PageNumber"/>
                      </w:rPr>
                    </w:pPr>
                    <w:r>
                      <w:rPr>
                        <w:rStyle w:val="PageNumber"/>
                      </w:rPr>
                      <w:tab/>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ind w:end="360"/>
                      <w:rPr>
                        <w:rStyle w:val="PageNumber"/>
                        <w:sz w:val="20"/>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lang w:val="en-CA"/>
      </w:rPr>
    </w:pPr>
    <w:r>
      <w:rPr>
        <w:lang w:val="en-CA"/>
      </w:rPr>
      <mc:AlternateContent>
        <mc:Choice Requires="wps">
          <w:drawing>
            <wp:anchor behindDoc="1" distT="0" distB="0" distL="114935" distR="114935" simplePos="0" locked="0" layoutInCell="0" allowOverlap="1" relativeHeight="53">
              <wp:simplePos x="0" y="0"/>
              <wp:positionH relativeFrom="margin">
                <wp:posOffset>-45720</wp:posOffset>
              </wp:positionH>
              <wp:positionV relativeFrom="page">
                <wp:posOffset>0</wp:posOffset>
              </wp:positionV>
              <wp:extent cx="635" cy="10058400"/>
              <wp:effectExtent l="5080" t="635" r="5080" b="635"/>
              <wp:wrapNone/>
              <wp:docPr id="1" name=""/>
              <a:graphic xmlns:a="http://schemas.openxmlformats.org/drawingml/2006/main">
                <a:graphicData uri="http://schemas.microsoft.com/office/word/2010/wordprocessingShape">
                  <wps:wsp>
                    <wps:cNvSpPr/>
                    <wps:spPr>
                      <a:xfrm>
                        <a:off x="0" y="0"/>
                        <a:ext cx="72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0pt" to="-3.6pt,791.95pt"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05">
              <wp:simplePos x="0" y="0"/>
              <wp:positionH relativeFrom="margin">
                <wp:posOffset>-91440</wp:posOffset>
              </wp:positionH>
              <wp:positionV relativeFrom="page">
                <wp:posOffset>0</wp:posOffset>
              </wp:positionV>
              <wp:extent cx="635" cy="10058400"/>
              <wp:effectExtent l="5080" t="635" r="5080" b="635"/>
              <wp:wrapNone/>
              <wp:docPr id="2" name=""/>
              <a:graphic xmlns:a="http://schemas.openxmlformats.org/drawingml/2006/main">
                <a:graphicData uri="http://schemas.microsoft.com/office/word/2010/wordprocessingShape">
                  <wps:wsp>
                    <wps:cNvSpPr/>
                    <wps:spPr>
                      <a:xfrm>
                        <a:off x="0" y="0"/>
                        <a:ext cx="72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0pt" to="-7.2pt,791.95pt"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31">
              <wp:simplePos x="0" y="0"/>
              <wp:positionH relativeFrom="page">
                <wp:posOffset>6858000</wp:posOffset>
              </wp:positionH>
              <wp:positionV relativeFrom="page">
                <wp:posOffset>0</wp:posOffset>
              </wp:positionV>
              <wp:extent cx="635" cy="10058400"/>
              <wp:effectExtent l="0" t="0" r="635" b="0"/>
              <wp:wrapNone/>
              <wp:docPr id="3" name=""/>
              <a:graphic xmlns:a="http://schemas.openxmlformats.org/drawingml/2006/main">
                <a:graphicData uri="http://schemas.microsoft.com/office/word/2010/wordprocessingShape">
                  <wps:wsp>
                    <wps:cNvSpPr/>
                    <wps:spPr>
                      <a:xfrm>
                        <a:off x="0" y="0"/>
                        <a:ext cx="720" cy="10058400"/>
                      </a:xfrm>
                      <a:prstGeom prst="line">
                        <a:avLst/>
                      </a:prstGeom>
                      <a:ln w="0">
                        <a:noFill/>
                      </a:ln>
                    </wps:spPr>
                    <wps:style>
                      <a:lnRef idx="0"/>
                      <a:fillRef idx="0"/>
                      <a:effectRef idx="0"/>
                      <a:fontRef idx="minor"/>
                    </wps:style>
                    <wps:bodyPr/>
                  </wps:wsp>
                </a:graphicData>
              </a:graphic>
            </wp:anchor>
          </w:drawing>
        </mc:Choice>
        <mc:Fallback>
          <w:pict>
            <v:line id="shape_0" from="540pt,0pt" to="540pt,791.95pt" stroked="f" o:allowincell="f" style="position:absolute;mso-position-horizontal-relative:page;mso-position-vertical-relative:page">
              <v:stroke color="#3465a4" joinstyle="round" endcap="flat"/>
              <v:fill o:detectmouseclick="t" on="false"/>
              <w10:wrap type="none"/>
            </v:line>
          </w:pict>
        </mc:Fallback>
      </mc:AlternateContent>
    </w:r>
    <w:r>
      <mc:AlternateContent>
        <mc:Choice Requires="wps">
          <w:drawing>
            <wp:anchor behindDoc="1" distT="0" distB="0" distL="114935" distR="114935" simplePos="0" locked="0" layoutInCell="0" allowOverlap="1" relativeHeight="79">
              <wp:simplePos x="0" y="0"/>
              <wp:positionH relativeFrom="margin">
                <wp:posOffset>-640080</wp:posOffset>
              </wp:positionH>
              <wp:positionV relativeFrom="margin">
                <wp:posOffset>0</wp:posOffset>
              </wp:positionV>
              <wp:extent cx="457200" cy="8229600"/>
              <wp:effectExtent l="0" t="0" r="0" b="0"/>
              <wp:wrapNone/>
              <wp:docPr id="4" name="Frame2"/>
              <a:graphic xmlns:a="http://schemas.openxmlformats.org/drawingml/2006/main">
                <a:graphicData uri="http://schemas.microsoft.com/office/word/2010/wordprocessingShape">
                  <wps:wsp>
                    <wps:cNvSpPr txBox="1"/>
                    <wps:spPr>
                      <a:xfrm>
                        <a:off x="0" y="0"/>
                        <a:ext cx="457200" cy="8229600"/>
                      </a:xfrm>
                      <a:prstGeom prst="rect"/>
                      <a:solidFill>
                        <a:srgbClr val="FFFFFF">
                          <a:alpha val="0"/>
                        </a:srgbClr>
                      </a:solidFill>
                    </wps:spPr>
                    <wps:txbx>
                      <w:txbxContent>
                        <w:p>
                          <w:pPr>
                            <w:pStyle w:val="LineNumbers"/>
                            <w:spacing w:lineRule="auto" w:line="360"/>
                            <w:rPr>
                              <w:rFonts w:ascii="Book Antiqua" w:hAnsi="Book Antiqua" w:cs="Book Antiqua"/>
                              <w:sz w:val="24"/>
                            </w:rPr>
                          </w:pPr>
                          <w:r>
                            <w:rPr>
                              <w:rFonts w:cs="Book Antiqua" w:ascii="Book Antiqua" w:hAnsi="Book Antiqua"/>
                              <w:sz w:val="24"/>
                            </w:rPr>
                            <w:t>1</w:t>
                          </w:r>
                        </w:p>
                        <w:p>
                          <w:pPr>
                            <w:pStyle w:val="LineNumbers"/>
                            <w:spacing w:lineRule="auto" w:line="360"/>
                            <w:rPr>
                              <w:rFonts w:ascii="Book Antiqua" w:hAnsi="Book Antiqua" w:cs="Book Antiqua"/>
                              <w:sz w:val="24"/>
                            </w:rPr>
                          </w:pPr>
                          <w:r>
                            <w:rPr>
                              <w:rFonts w:cs="Book Antiqua" w:ascii="Book Antiqua" w:hAnsi="Book Antiqua"/>
                              <w:sz w:val="24"/>
                            </w:rPr>
                            <w:t>2</w:t>
                          </w:r>
                        </w:p>
                        <w:p>
                          <w:pPr>
                            <w:pStyle w:val="LineNumbers"/>
                            <w:spacing w:lineRule="auto" w:line="360"/>
                            <w:rPr>
                              <w:rFonts w:ascii="Book Antiqua" w:hAnsi="Book Antiqua" w:cs="Book Antiqua"/>
                              <w:sz w:val="24"/>
                            </w:rPr>
                          </w:pPr>
                          <w:r>
                            <w:rPr>
                              <w:rFonts w:cs="Book Antiqua" w:ascii="Book Antiqua" w:hAnsi="Book Antiqua"/>
                              <w:sz w:val="24"/>
                            </w:rPr>
                            <w:t>3</w:t>
                          </w:r>
                        </w:p>
                        <w:p>
                          <w:pPr>
                            <w:pStyle w:val="LineNumbers"/>
                            <w:spacing w:lineRule="auto" w:line="360"/>
                            <w:rPr>
                              <w:rFonts w:ascii="Book Antiqua" w:hAnsi="Book Antiqua" w:cs="Book Antiqua"/>
                              <w:sz w:val="24"/>
                            </w:rPr>
                          </w:pPr>
                          <w:r>
                            <w:rPr>
                              <w:rFonts w:cs="Book Antiqua" w:ascii="Book Antiqua" w:hAnsi="Book Antiqua"/>
                              <w:sz w:val="24"/>
                            </w:rPr>
                            <w:t>4</w:t>
                          </w:r>
                        </w:p>
                        <w:p>
                          <w:pPr>
                            <w:pStyle w:val="LineNumbers"/>
                            <w:spacing w:lineRule="auto" w:line="360"/>
                            <w:rPr>
                              <w:rFonts w:ascii="Book Antiqua" w:hAnsi="Book Antiqua" w:cs="Book Antiqua"/>
                              <w:sz w:val="24"/>
                            </w:rPr>
                          </w:pPr>
                          <w:r>
                            <w:rPr>
                              <w:rFonts w:cs="Book Antiqua" w:ascii="Book Antiqua" w:hAnsi="Book Antiqua"/>
                              <w:sz w:val="24"/>
                            </w:rPr>
                            <w:t>5</w:t>
                          </w:r>
                        </w:p>
                        <w:p>
                          <w:pPr>
                            <w:pStyle w:val="LineNumbers"/>
                            <w:spacing w:lineRule="auto" w:line="360"/>
                            <w:rPr>
                              <w:rFonts w:ascii="Book Antiqua" w:hAnsi="Book Antiqua" w:cs="Book Antiqua"/>
                              <w:sz w:val="24"/>
                            </w:rPr>
                          </w:pPr>
                          <w:r>
                            <w:rPr>
                              <w:rFonts w:cs="Book Antiqua" w:ascii="Book Antiqua" w:hAnsi="Book Antiqua"/>
                              <w:sz w:val="24"/>
                            </w:rPr>
                            <w:t>6</w:t>
                          </w:r>
                        </w:p>
                        <w:p>
                          <w:pPr>
                            <w:pStyle w:val="LineNumbers"/>
                            <w:spacing w:lineRule="auto" w:line="360"/>
                            <w:rPr>
                              <w:rFonts w:ascii="Book Antiqua" w:hAnsi="Book Antiqua" w:cs="Book Antiqua"/>
                              <w:sz w:val="24"/>
                            </w:rPr>
                          </w:pPr>
                          <w:r>
                            <w:rPr>
                              <w:rFonts w:cs="Book Antiqua" w:ascii="Book Antiqua" w:hAnsi="Book Antiqua"/>
                              <w:sz w:val="24"/>
                            </w:rPr>
                            <w:t>7</w:t>
                          </w:r>
                        </w:p>
                        <w:p>
                          <w:pPr>
                            <w:pStyle w:val="LineNumbers"/>
                            <w:spacing w:lineRule="auto" w:line="360"/>
                            <w:rPr>
                              <w:rFonts w:ascii="Book Antiqua" w:hAnsi="Book Antiqua" w:cs="Book Antiqua"/>
                              <w:sz w:val="24"/>
                            </w:rPr>
                          </w:pPr>
                          <w:r>
                            <w:rPr>
                              <w:rFonts w:cs="Book Antiqua" w:ascii="Book Antiqua" w:hAnsi="Book Antiqua"/>
                              <w:sz w:val="24"/>
                            </w:rPr>
                            <w:t>8</w:t>
                          </w:r>
                        </w:p>
                        <w:p>
                          <w:pPr>
                            <w:pStyle w:val="LineNumbers"/>
                            <w:spacing w:lineRule="auto" w:line="360"/>
                            <w:rPr>
                              <w:rFonts w:ascii="Book Antiqua" w:hAnsi="Book Antiqua" w:cs="Book Antiqua"/>
                              <w:sz w:val="24"/>
                            </w:rPr>
                          </w:pPr>
                          <w:r>
                            <w:rPr>
                              <w:rFonts w:cs="Book Antiqua" w:ascii="Book Antiqua" w:hAnsi="Book Antiqua"/>
                              <w:sz w:val="24"/>
                            </w:rPr>
                            <w:t>9</w:t>
                          </w:r>
                        </w:p>
                        <w:p>
                          <w:pPr>
                            <w:pStyle w:val="LineNumbers"/>
                            <w:spacing w:lineRule="auto" w:line="360"/>
                            <w:rPr>
                              <w:rFonts w:ascii="Book Antiqua" w:hAnsi="Book Antiqua" w:cs="Book Antiqua"/>
                              <w:sz w:val="24"/>
                            </w:rPr>
                          </w:pPr>
                          <w:r>
                            <w:rPr>
                              <w:rFonts w:cs="Book Antiqua" w:ascii="Book Antiqua" w:hAnsi="Book Antiqua"/>
                              <w:sz w:val="24"/>
                            </w:rPr>
                            <w:t>10</w:t>
                          </w:r>
                        </w:p>
                        <w:p>
                          <w:pPr>
                            <w:pStyle w:val="LineNumbers"/>
                            <w:spacing w:lineRule="auto" w:line="360"/>
                            <w:rPr>
                              <w:rFonts w:ascii="Book Antiqua" w:hAnsi="Book Antiqua" w:cs="Book Antiqua"/>
                              <w:sz w:val="24"/>
                            </w:rPr>
                          </w:pPr>
                          <w:r>
                            <w:rPr>
                              <w:rFonts w:cs="Book Antiqua" w:ascii="Book Antiqua" w:hAnsi="Book Antiqua"/>
                              <w:sz w:val="24"/>
                            </w:rPr>
                            <w:t>11</w:t>
                          </w:r>
                        </w:p>
                        <w:p>
                          <w:pPr>
                            <w:pStyle w:val="LineNumbers"/>
                            <w:spacing w:lineRule="auto" w:line="360"/>
                            <w:rPr>
                              <w:rFonts w:ascii="Book Antiqua" w:hAnsi="Book Antiqua" w:cs="Book Antiqua"/>
                              <w:sz w:val="24"/>
                            </w:rPr>
                          </w:pPr>
                          <w:r>
                            <w:rPr>
                              <w:rFonts w:cs="Book Antiqua" w:ascii="Book Antiqua" w:hAnsi="Book Antiqua"/>
                              <w:sz w:val="24"/>
                            </w:rPr>
                            <w:t>12</w:t>
                          </w:r>
                        </w:p>
                        <w:p>
                          <w:pPr>
                            <w:pStyle w:val="LineNumbers"/>
                            <w:spacing w:lineRule="auto" w:line="360"/>
                            <w:rPr>
                              <w:rFonts w:ascii="Book Antiqua" w:hAnsi="Book Antiqua" w:cs="Book Antiqua"/>
                              <w:sz w:val="24"/>
                            </w:rPr>
                          </w:pPr>
                          <w:r>
                            <w:rPr>
                              <w:rFonts w:cs="Book Antiqua" w:ascii="Book Antiqua" w:hAnsi="Book Antiqua"/>
                              <w:sz w:val="24"/>
                            </w:rPr>
                            <w:t>13</w:t>
                          </w:r>
                        </w:p>
                        <w:p>
                          <w:pPr>
                            <w:pStyle w:val="LineNumbers"/>
                            <w:spacing w:lineRule="auto" w:line="360"/>
                            <w:rPr>
                              <w:rFonts w:ascii="Book Antiqua" w:hAnsi="Book Antiqua" w:cs="Book Antiqua"/>
                              <w:sz w:val="24"/>
                            </w:rPr>
                          </w:pPr>
                          <w:r>
                            <w:rPr>
                              <w:rFonts w:cs="Book Antiqua" w:ascii="Book Antiqua" w:hAnsi="Book Antiqua"/>
                              <w:sz w:val="24"/>
                            </w:rPr>
                            <w:t>14</w:t>
                          </w:r>
                        </w:p>
                        <w:p>
                          <w:pPr>
                            <w:pStyle w:val="LineNumbers"/>
                            <w:spacing w:lineRule="auto" w:line="360"/>
                            <w:rPr>
                              <w:rFonts w:ascii="Book Antiqua" w:hAnsi="Book Antiqua" w:cs="Book Antiqua"/>
                              <w:sz w:val="24"/>
                            </w:rPr>
                          </w:pPr>
                          <w:r>
                            <w:rPr>
                              <w:rFonts w:cs="Book Antiqua" w:ascii="Book Antiqua" w:hAnsi="Book Antiqua"/>
                              <w:sz w:val="24"/>
                            </w:rPr>
                            <w:t>15</w:t>
                          </w:r>
                        </w:p>
                        <w:p>
                          <w:pPr>
                            <w:pStyle w:val="LineNumbers"/>
                            <w:spacing w:lineRule="auto" w:line="360"/>
                            <w:rPr>
                              <w:rFonts w:ascii="Book Antiqua" w:hAnsi="Book Antiqua" w:cs="Book Antiqua"/>
                              <w:sz w:val="24"/>
                            </w:rPr>
                          </w:pPr>
                          <w:r>
                            <w:rPr>
                              <w:rFonts w:cs="Book Antiqua" w:ascii="Book Antiqua" w:hAnsi="Book Antiqua"/>
                              <w:sz w:val="24"/>
                            </w:rPr>
                            <w:t>16</w:t>
                          </w:r>
                        </w:p>
                        <w:p>
                          <w:pPr>
                            <w:pStyle w:val="LineNumbers"/>
                            <w:spacing w:lineRule="auto" w:line="360"/>
                            <w:rPr>
                              <w:rFonts w:ascii="Book Antiqua" w:hAnsi="Book Antiqua" w:cs="Book Antiqua"/>
                              <w:sz w:val="24"/>
                            </w:rPr>
                          </w:pPr>
                          <w:r>
                            <w:rPr>
                              <w:rFonts w:cs="Book Antiqua" w:ascii="Book Antiqua" w:hAnsi="Book Antiqua"/>
                              <w:sz w:val="24"/>
                            </w:rPr>
                            <w:t>17</w:t>
                          </w:r>
                        </w:p>
                        <w:p>
                          <w:pPr>
                            <w:pStyle w:val="LineNumbers"/>
                            <w:spacing w:lineRule="auto" w:line="360"/>
                            <w:rPr>
                              <w:rFonts w:ascii="Book Antiqua" w:hAnsi="Book Antiqua" w:cs="Book Antiqua"/>
                              <w:sz w:val="24"/>
                            </w:rPr>
                          </w:pPr>
                          <w:r>
                            <w:rPr>
                              <w:rFonts w:cs="Book Antiqua" w:ascii="Book Antiqua" w:hAnsi="Book Antiqua"/>
                              <w:sz w:val="24"/>
                            </w:rPr>
                            <w:t>18</w:t>
                          </w:r>
                        </w:p>
                        <w:p>
                          <w:pPr>
                            <w:pStyle w:val="LineNumbers"/>
                            <w:spacing w:lineRule="auto" w:line="360"/>
                            <w:rPr>
                              <w:rFonts w:ascii="Book Antiqua" w:hAnsi="Book Antiqua" w:cs="Book Antiqua"/>
                              <w:sz w:val="24"/>
                            </w:rPr>
                          </w:pPr>
                          <w:r>
                            <w:rPr>
                              <w:rFonts w:cs="Book Antiqua" w:ascii="Book Antiqua" w:hAnsi="Book Antiqua"/>
                              <w:sz w:val="24"/>
                            </w:rPr>
                            <w:t>19</w:t>
                          </w:r>
                        </w:p>
                        <w:p>
                          <w:pPr>
                            <w:pStyle w:val="LineNumbers"/>
                            <w:spacing w:lineRule="auto" w:line="360"/>
                            <w:rPr>
                              <w:rFonts w:ascii="Book Antiqua" w:hAnsi="Book Antiqua" w:cs="Book Antiqua"/>
                              <w:sz w:val="24"/>
                            </w:rPr>
                          </w:pPr>
                          <w:r>
                            <w:rPr>
                              <w:rFonts w:cs="Book Antiqua" w:ascii="Book Antiqua" w:hAnsi="Book Antiqua"/>
                              <w:sz w:val="24"/>
                            </w:rPr>
                            <w:t>20</w:t>
                          </w:r>
                        </w:p>
                        <w:p>
                          <w:pPr>
                            <w:pStyle w:val="LineNumbers"/>
                            <w:spacing w:lineRule="auto" w:line="360"/>
                            <w:rPr>
                              <w:rFonts w:ascii="Book Antiqua" w:hAnsi="Book Antiqua" w:cs="Book Antiqua"/>
                              <w:sz w:val="24"/>
                            </w:rPr>
                          </w:pPr>
                          <w:r>
                            <w:rPr>
                              <w:rFonts w:cs="Book Antiqua" w:ascii="Book Antiqua" w:hAnsi="Book Antiqua"/>
                              <w:sz w:val="24"/>
                            </w:rPr>
                            <w:t>21</w:t>
                          </w:r>
                        </w:p>
                        <w:p>
                          <w:pPr>
                            <w:pStyle w:val="LineNumbers"/>
                            <w:spacing w:lineRule="auto" w:line="360"/>
                            <w:rPr>
                              <w:rFonts w:ascii="Book Antiqua" w:hAnsi="Book Antiqua" w:cs="Book Antiqua"/>
                              <w:sz w:val="24"/>
                            </w:rPr>
                          </w:pPr>
                          <w:r>
                            <w:rPr>
                              <w:rFonts w:cs="Book Antiqua" w:ascii="Book Antiqua" w:hAnsi="Book Antiqua"/>
                              <w:sz w:val="24"/>
                            </w:rPr>
                            <w:t>22</w:t>
                          </w:r>
                        </w:p>
                        <w:p>
                          <w:pPr>
                            <w:pStyle w:val="LineNumbers"/>
                            <w:spacing w:lineRule="auto" w:line="480"/>
                            <w:rPr>
                              <w:rFonts w:ascii="Book Antiqua" w:hAnsi="Book Antiqua" w:cs="Book Antiqua"/>
                              <w:sz w:val="24"/>
                            </w:rPr>
                          </w:pPr>
                          <w:r>
                            <w:rPr>
                              <w:rFonts w:cs="Book Antiqua" w:ascii="Book Antiqua" w:hAnsi="Book Antiqua"/>
                              <w:sz w:val="24"/>
                            </w:rPr>
                            <w:t>23</w:t>
                          </w:r>
                        </w:p>
                        <w:p>
                          <w:pPr>
                            <w:pStyle w:val="LineNumbers"/>
                            <w:spacing w:lineRule="auto" w:line="480"/>
                            <w:rPr>
                              <w:rFonts w:ascii="Book Antiqua" w:hAnsi="Book Antiqua" w:cs="Book Antiqua"/>
                              <w:sz w:val="24"/>
                            </w:rPr>
                          </w:pPr>
                          <w:r>
                            <w:rPr>
                              <w:rFonts w:cs="Book Antiqua" w:ascii="Book Antiqua" w:hAnsi="Book Antiqua"/>
                              <w:sz w:val="24"/>
                            </w:rPr>
                            <w:t>24</w:t>
                          </w:r>
                        </w:p>
                        <w:p>
                          <w:pPr>
                            <w:pStyle w:val="LineNumbers"/>
                            <w:spacing w:lineRule="auto" w:line="480"/>
                            <w:rPr>
                              <w:rFonts w:ascii="Book Antiqua" w:hAnsi="Book Antiqua" w:cs="Book Antiqua"/>
                              <w:sz w:val="24"/>
                            </w:rPr>
                          </w:pPr>
                          <w:r>
                            <w:rPr>
                              <w:rFonts w:cs="Book Antiqua" w:ascii="Book Antiqua" w:hAnsi="Book Antiqua"/>
                              <w:sz w:val="24"/>
                            </w:rPr>
                            <w:t>25</w:t>
                          </w:r>
                        </w:p>
                        <w:p>
                          <w:pPr>
                            <w:pStyle w:val="LineNumbers"/>
                            <w:spacing w:lineRule="auto" w:line="480"/>
                            <w:rPr>
                              <w:rFonts w:ascii="Book Antiqua" w:hAnsi="Book Antiqua" w:cs="Book Antiqua"/>
                              <w:sz w:val="24"/>
                            </w:rPr>
                          </w:pPr>
                          <w:r>
                            <w:rPr>
                              <w:rFonts w:cs="Book Antiqua" w:ascii="Book Antiqua" w:hAnsi="Book Antiqua"/>
                              <w:sz w:val="24"/>
                            </w:rPr>
                            <w:t>26</w:t>
                          </w:r>
                        </w:p>
                        <w:p>
                          <w:pPr>
                            <w:pStyle w:val="LineNumbers"/>
                            <w:spacing w:lineRule="auto" w:line="480"/>
                            <w:rPr>
                              <w:rFonts w:ascii="Book Antiqua" w:hAnsi="Book Antiqua" w:cs="Book Antiqua"/>
                              <w:sz w:val="24"/>
                            </w:rPr>
                          </w:pPr>
                          <w:r>
                            <w:rPr>
                              <w:rFonts w:cs="Book Antiqua" w:ascii="Book Antiqua" w:hAnsi="Book Antiqua"/>
                              <w:sz w:val="24"/>
                            </w:rPr>
                            <w:t>27</w:t>
                            <w:br/>
                            <w:t>28</w:t>
                            <w:tab/>
                            <w:t>82828</w:t>
                          </w:r>
                        </w:p>
                        <w:p>
                          <w:pPr>
                            <w:pStyle w:val="LineNumbers"/>
                            <w:spacing w:lineRule="auto" w:line="480"/>
                            <w:rPr>
                              <w:rFonts w:ascii="Book Antiqua" w:hAnsi="Book Antiqua" w:cs="Book Antiqua"/>
                              <w:sz w:val="24"/>
                            </w:rPr>
                          </w:pPr>
                          <w:r>
                            <w:rPr>
                              <w:rFonts w:cs="Book Antiqua" w:ascii="Book Antiqua" w:hAnsi="Book Antiqua"/>
                              <w:sz w:val="24"/>
                            </w:rPr>
                          </w:r>
                        </w:p>
                        <w:p>
                          <w:pPr>
                            <w:pStyle w:val="LineNumbers"/>
                            <w:spacing w:lineRule="auto" w:line="480"/>
                            <w:rPr>
                              <w:rFonts w:ascii="Book Antiqua" w:hAnsi="Book Antiqua" w:cs="Book Antiqua"/>
                              <w:sz w:val="24"/>
                            </w:rPr>
                          </w:pPr>
                          <w:r>
                            <w:rPr>
                              <w:rFonts w:cs="Book Antiqua" w:ascii="Book Antiqua" w:hAnsi="Book Antiqua"/>
                              <w:sz w:val="24"/>
                            </w:rPr>
                          </w:r>
                        </w:p>
                        <w:p>
                          <w:pPr>
                            <w:pStyle w:val="LineNumbers"/>
                            <w:spacing w:lineRule="auto" w:line="480"/>
                            <w:rPr>
                              <w:rFonts w:ascii="Book Antiqua" w:hAnsi="Book Antiqua" w:cs="Book Antiqua"/>
                              <w:sz w:val="24"/>
                            </w:rPr>
                          </w:pPr>
                          <w:r>
                            <w:rPr>
                              <w:rFonts w:cs="Book Antiqua" w:ascii="Book Antiqua" w:hAnsi="Book Antiqua"/>
                              <w:sz w:val="24"/>
                            </w:rPr>
                          </w:r>
                        </w:p>
                        <w:p>
                          <w:pPr>
                            <w:pStyle w:val="LineNumbers"/>
                            <w:spacing w:lineRule="auto" w:line="480"/>
                            <w:rPr/>
                          </w:pPr>
                          <w:r>
                            <w:rPr>
                              <w:rFonts w:cs="Book Antiqua" w:ascii="Book Antiqua" w:hAnsi="Book Antiqua"/>
                              <w:sz w:val="24"/>
                            </w:rPr>
                            <w:t>2</w:t>
                          </w:r>
                          <w:r>
                            <w:rPr>
                              <w:rFonts w:cs="Book Antiqua" w:ascii="Book Antiqua" w:hAnsi="Book Antiqua"/>
                              <w:sz w:val="20"/>
                            </w:rPr>
                            <w:t>9</w:t>
                          </w:r>
                        </w:p>
                        <w:p>
                          <w:pPr>
                            <w:pStyle w:val="LineNumbers"/>
                            <w:spacing w:lineRule="auto" w:line="480"/>
                            <w:rPr/>
                          </w:pPr>
                          <w:r>
                            <w:rPr/>
                            <w:t>30</w:t>
                          </w:r>
                        </w:p>
                        <w:p>
                          <w:pPr>
                            <w:pStyle w:val="LineNumbers"/>
                            <w:spacing w:lineRule="auto" w:line="480"/>
                            <w:rPr/>
                          </w:pPr>
                          <w:r>
                            <w:rPr/>
                            <w:t>31</w:t>
                          </w:r>
                        </w:p>
                        <w:p>
                          <w:pPr>
                            <w:pStyle w:val="LineNumbers"/>
                            <w:spacing w:lineRule="auto" w:line="480"/>
                            <w:rPr/>
                          </w:pPr>
                          <w:r>
                            <w:rPr/>
                            <w:t>32</w:t>
                          </w:r>
                        </w:p>
                        <w:p>
                          <w:pPr>
                            <w:pStyle w:val="LineNumbers"/>
                            <w:spacing w:lineRule="auto" w:line="480"/>
                            <w:rPr/>
                          </w:pPr>
                          <w:r>
                            <w:rPr/>
                            <w:t>33</w:t>
                          </w:r>
                        </w:p>
                        <w:p>
                          <w:pPr>
                            <w:pStyle w:val="LineNumbers"/>
                            <w:spacing w:lineRule="auto" w:line="480"/>
                            <w:rPr/>
                          </w:pPr>
                          <w:r>
                            <w:rPr/>
                            <w:t>34</w:t>
                          </w:r>
                        </w:p>
                        <w:p>
                          <w:pPr>
                            <w:pStyle w:val="LineNumbers"/>
                            <w:spacing w:lineRule="auto" w:line="480"/>
                            <w:rPr/>
                          </w:pPr>
                          <w:r>
                            <w:rPr/>
                            <w:t>35</w:t>
                          </w:r>
                        </w:p>
                        <w:p>
                          <w:pPr>
                            <w:pStyle w:val="LineNumbers"/>
                            <w:spacing w:lineRule="auto" w:line="480"/>
                            <w:rPr/>
                          </w:pPr>
                          <w:r>
                            <w:rPr/>
                            <w:t>36</w:t>
                          </w:r>
                        </w:p>
                        <w:p>
                          <w:pPr>
                            <w:pStyle w:val="LineNumbers"/>
                            <w:spacing w:lineRule="auto" w:line="480"/>
                            <w:rPr/>
                          </w:pPr>
                          <w:r>
                            <w:rPr/>
                            <w:t>37</w:t>
                          </w:r>
                        </w:p>
                        <w:p>
                          <w:pPr>
                            <w:pStyle w:val="LineNumbers"/>
                            <w:spacing w:lineRule="auto" w:line="480"/>
                            <w:rPr/>
                          </w:pPr>
                          <w:r>
                            <w:rPr/>
                            <w:t>38</w:t>
                          </w:r>
                        </w:p>
                        <w:p>
                          <w:pPr>
                            <w:pStyle w:val="LineNumbers"/>
                            <w:spacing w:lineRule="auto" w:line="480"/>
                            <w:rPr/>
                          </w:pPr>
                          <w:r>
                            <w:rPr/>
                            <w:t>39</w:t>
                          </w:r>
                        </w:p>
                        <w:p>
                          <w:pPr>
                            <w:pStyle w:val="LineNumbers"/>
                            <w:spacing w:lineRule="auto" w:line="480"/>
                            <w:rPr/>
                          </w:pPr>
                          <w:r>
                            <w:rPr/>
                            <w:t>40</w:t>
                          </w:r>
                        </w:p>
                        <w:p>
                          <w:pPr>
                            <w:pStyle w:val="LineNumbers"/>
                            <w:spacing w:lineRule="auto" w:line="480"/>
                            <w:rPr/>
                          </w:pPr>
                          <w:r>
                            <w:rPr/>
                            <w:t>41</w:t>
                          </w:r>
                        </w:p>
                        <w:p>
                          <w:pPr>
                            <w:pStyle w:val="LineNumbers"/>
                            <w:spacing w:lineRule="auto" w:line="480"/>
                            <w:rPr/>
                          </w:pPr>
                          <w:r>
                            <w:rPr/>
                            <w:t>42</w:t>
                          </w:r>
                        </w:p>
                        <w:p>
                          <w:pPr>
                            <w:pStyle w:val="LineNumbers"/>
                            <w:spacing w:lineRule="auto" w:line="480"/>
                            <w:rPr/>
                          </w:pPr>
                          <w:r>
                            <w:rPr/>
                            <w:t>43</w:t>
                          </w:r>
                        </w:p>
                        <w:p>
                          <w:pPr>
                            <w:pStyle w:val="LineNumbers"/>
                            <w:spacing w:lineRule="auto" w:line="480"/>
                            <w:rPr/>
                          </w:pPr>
                          <w:r>
                            <w:rPr/>
                            <w:t>44</w:t>
                          </w:r>
                        </w:p>
                        <w:p>
                          <w:pPr>
                            <w:pStyle w:val="LineNumbers"/>
                            <w:spacing w:lineRule="auto" w:line="480"/>
                            <w:rPr/>
                          </w:pPr>
                          <w:r>
                            <w:rPr/>
                            <w:t>45</w:t>
                          </w:r>
                        </w:p>
                        <w:p>
                          <w:pPr>
                            <w:pStyle w:val="LineNumbers"/>
                            <w:spacing w:lineRule="auto" w:line="480"/>
                            <w:rPr/>
                          </w:pPr>
                          <w:r>
                            <w:rPr/>
                            <w:t>46</w:t>
                          </w:r>
                        </w:p>
                        <w:p>
                          <w:pPr>
                            <w:pStyle w:val="LineNumbers"/>
                            <w:spacing w:lineRule="auto" w:line="480"/>
                            <w:rPr/>
                          </w:pPr>
                          <w:r>
                            <w:rPr/>
                            <w:t>47</w:t>
                          </w:r>
                        </w:p>
                        <w:p>
                          <w:pPr>
                            <w:pStyle w:val="LineNumbers"/>
                            <w:spacing w:lineRule="auto" w:line="480"/>
                            <w:rPr/>
                          </w:pPr>
                          <w:r>
                            <w:rPr/>
                            <w:t>48</w:t>
                          </w:r>
                        </w:p>
                        <w:p>
                          <w:pPr>
                            <w:pStyle w:val="LineNumbers"/>
                            <w:spacing w:lineRule="auto" w:line="480"/>
                            <w:rPr/>
                          </w:pPr>
                          <w:r>
                            <w:rPr/>
                            <w:t>49</w:t>
                          </w:r>
                        </w:p>
                        <w:p>
                          <w:pPr>
                            <w:pStyle w:val="LineNumbers"/>
                            <w:spacing w:lineRule="auto" w:line="480"/>
                            <w:rPr/>
                          </w:pPr>
                          <w:r>
                            <w:rPr/>
                            <w:t>50</w:t>
                          </w:r>
                        </w:p>
                        <w:p>
                          <w:pPr>
                            <w:pStyle w:val="LineNumbers"/>
                            <w:spacing w:lineRule="auto" w:line="480"/>
                            <w:rPr/>
                          </w:pPr>
                          <w:r>
                            <w:rPr/>
                            <w:t>51</w:t>
                          </w:r>
                        </w:p>
                        <w:p>
                          <w:pPr>
                            <w:pStyle w:val="LineNumbers"/>
                            <w:spacing w:lineRule="auto" w:line="480"/>
                            <w:rPr/>
                          </w:pPr>
                          <w:r>
                            <w:rPr/>
                            <w:t>52</w:t>
                          </w:r>
                        </w:p>
                        <w:p>
                          <w:pPr>
                            <w:pStyle w:val="LineNumbers"/>
                            <w:spacing w:lineRule="auto" w:line="480"/>
                            <w:rPr/>
                          </w:pPr>
                          <w:r>
                            <w:rPr/>
                            <w:t>53</w:t>
                          </w:r>
                        </w:p>
                        <w:p>
                          <w:pPr>
                            <w:pStyle w:val="LineNumbers"/>
                            <w:spacing w:lineRule="auto" w:line="480"/>
                            <w:rPr/>
                          </w:pPr>
                          <w:r>
                            <w:rPr/>
                          </w:r>
                        </w:p>
                      </w:txbxContent>
                    </wps:txbx>
                    <wps:bodyPr anchor="t" lIns="635" tIns="635" rIns="635" bIns="635">
                      <a:noAutofit/>
                    </wps:bodyPr>
                  </wps:wsp>
                </a:graphicData>
              </a:graphic>
            </wp:anchor>
          </w:drawing>
        </mc:Choice>
        <mc:Fallback>
          <w:pict>
            <v:rect fillcolor="#FFFFFF" style="position:absolute;rotation:-0;width:36pt;height:648pt;mso-wrap-distance-left:9.05pt;mso-wrap-distance-right:9.05pt;mso-wrap-distance-top:0pt;mso-wrap-distance-bottom:0pt;margin-top:0pt;mso-position-vertical-relative:margin;margin-left:-50.4pt;mso-position-horizontal-relative:margin">
              <v:fill opacity="0f"/>
              <v:textbox inset="0.000694444444444445in,0.000694444444444445in,0.000694444444444445in,0.000694444444444445in">
                <w:txbxContent>
                  <w:p>
                    <w:pPr>
                      <w:pStyle w:val="LineNumbers"/>
                      <w:spacing w:lineRule="auto" w:line="360"/>
                      <w:rPr>
                        <w:rFonts w:ascii="Book Antiqua" w:hAnsi="Book Antiqua" w:cs="Book Antiqua"/>
                        <w:sz w:val="24"/>
                      </w:rPr>
                    </w:pPr>
                    <w:r>
                      <w:rPr>
                        <w:rFonts w:cs="Book Antiqua" w:ascii="Book Antiqua" w:hAnsi="Book Antiqua"/>
                        <w:sz w:val="24"/>
                      </w:rPr>
                      <w:t>1</w:t>
                    </w:r>
                  </w:p>
                  <w:p>
                    <w:pPr>
                      <w:pStyle w:val="LineNumbers"/>
                      <w:spacing w:lineRule="auto" w:line="360"/>
                      <w:rPr>
                        <w:rFonts w:ascii="Book Antiqua" w:hAnsi="Book Antiqua" w:cs="Book Antiqua"/>
                        <w:sz w:val="24"/>
                      </w:rPr>
                    </w:pPr>
                    <w:r>
                      <w:rPr>
                        <w:rFonts w:cs="Book Antiqua" w:ascii="Book Antiqua" w:hAnsi="Book Antiqua"/>
                        <w:sz w:val="24"/>
                      </w:rPr>
                      <w:t>2</w:t>
                    </w:r>
                  </w:p>
                  <w:p>
                    <w:pPr>
                      <w:pStyle w:val="LineNumbers"/>
                      <w:spacing w:lineRule="auto" w:line="360"/>
                      <w:rPr>
                        <w:rFonts w:ascii="Book Antiqua" w:hAnsi="Book Antiqua" w:cs="Book Antiqua"/>
                        <w:sz w:val="24"/>
                      </w:rPr>
                    </w:pPr>
                    <w:r>
                      <w:rPr>
                        <w:rFonts w:cs="Book Antiqua" w:ascii="Book Antiqua" w:hAnsi="Book Antiqua"/>
                        <w:sz w:val="24"/>
                      </w:rPr>
                      <w:t>3</w:t>
                    </w:r>
                  </w:p>
                  <w:p>
                    <w:pPr>
                      <w:pStyle w:val="LineNumbers"/>
                      <w:spacing w:lineRule="auto" w:line="360"/>
                      <w:rPr>
                        <w:rFonts w:ascii="Book Antiqua" w:hAnsi="Book Antiqua" w:cs="Book Antiqua"/>
                        <w:sz w:val="24"/>
                      </w:rPr>
                    </w:pPr>
                    <w:r>
                      <w:rPr>
                        <w:rFonts w:cs="Book Antiqua" w:ascii="Book Antiqua" w:hAnsi="Book Antiqua"/>
                        <w:sz w:val="24"/>
                      </w:rPr>
                      <w:t>4</w:t>
                    </w:r>
                  </w:p>
                  <w:p>
                    <w:pPr>
                      <w:pStyle w:val="LineNumbers"/>
                      <w:spacing w:lineRule="auto" w:line="360"/>
                      <w:rPr>
                        <w:rFonts w:ascii="Book Antiqua" w:hAnsi="Book Antiqua" w:cs="Book Antiqua"/>
                        <w:sz w:val="24"/>
                      </w:rPr>
                    </w:pPr>
                    <w:r>
                      <w:rPr>
                        <w:rFonts w:cs="Book Antiqua" w:ascii="Book Antiqua" w:hAnsi="Book Antiqua"/>
                        <w:sz w:val="24"/>
                      </w:rPr>
                      <w:t>5</w:t>
                    </w:r>
                  </w:p>
                  <w:p>
                    <w:pPr>
                      <w:pStyle w:val="LineNumbers"/>
                      <w:spacing w:lineRule="auto" w:line="360"/>
                      <w:rPr>
                        <w:rFonts w:ascii="Book Antiqua" w:hAnsi="Book Antiqua" w:cs="Book Antiqua"/>
                        <w:sz w:val="24"/>
                      </w:rPr>
                    </w:pPr>
                    <w:r>
                      <w:rPr>
                        <w:rFonts w:cs="Book Antiqua" w:ascii="Book Antiqua" w:hAnsi="Book Antiqua"/>
                        <w:sz w:val="24"/>
                      </w:rPr>
                      <w:t>6</w:t>
                    </w:r>
                  </w:p>
                  <w:p>
                    <w:pPr>
                      <w:pStyle w:val="LineNumbers"/>
                      <w:spacing w:lineRule="auto" w:line="360"/>
                      <w:rPr>
                        <w:rFonts w:ascii="Book Antiqua" w:hAnsi="Book Antiqua" w:cs="Book Antiqua"/>
                        <w:sz w:val="24"/>
                      </w:rPr>
                    </w:pPr>
                    <w:r>
                      <w:rPr>
                        <w:rFonts w:cs="Book Antiqua" w:ascii="Book Antiqua" w:hAnsi="Book Antiqua"/>
                        <w:sz w:val="24"/>
                      </w:rPr>
                      <w:t>7</w:t>
                    </w:r>
                  </w:p>
                  <w:p>
                    <w:pPr>
                      <w:pStyle w:val="LineNumbers"/>
                      <w:spacing w:lineRule="auto" w:line="360"/>
                      <w:rPr>
                        <w:rFonts w:ascii="Book Antiqua" w:hAnsi="Book Antiqua" w:cs="Book Antiqua"/>
                        <w:sz w:val="24"/>
                      </w:rPr>
                    </w:pPr>
                    <w:r>
                      <w:rPr>
                        <w:rFonts w:cs="Book Antiqua" w:ascii="Book Antiqua" w:hAnsi="Book Antiqua"/>
                        <w:sz w:val="24"/>
                      </w:rPr>
                      <w:t>8</w:t>
                    </w:r>
                  </w:p>
                  <w:p>
                    <w:pPr>
                      <w:pStyle w:val="LineNumbers"/>
                      <w:spacing w:lineRule="auto" w:line="360"/>
                      <w:rPr>
                        <w:rFonts w:ascii="Book Antiqua" w:hAnsi="Book Antiqua" w:cs="Book Antiqua"/>
                        <w:sz w:val="24"/>
                      </w:rPr>
                    </w:pPr>
                    <w:r>
                      <w:rPr>
                        <w:rFonts w:cs="Book Antiqua" w:ascii="Book Antiqua" w:hAnsi="Book Antiqua"/>
                        <w:sz w:val="24"/>
                      </w:rPr>
                      <w:t>9</w:t>
                    </w:r>
                  </w:p>
                  <w:p>
                    <w:pPr>
                      <w:pStyle w:val="LineNumbers"/>
                      <w:spacing w:lineRule="auto" w:line="360"/>
                      <w:rPr>
                        <w:rFonts w:ascii="Book Antiqua" w:hAnsi="Book Antiqua" w:cs="Book Antiqua"/>
                        <w:sz w:val="24"/>
                      </w:rPr>
                    </w:pPr>
                    <w:r>
                      <w:rPr>
                        <w:rFonts w:cs="Book Antiqua" w:ascii="Book Antiqua" w:hAnsi="Book Antiqua"/>
                        <w:sz w:val="24"/>
                      </w:rPr>
                      <w:t>10</w:t>
                    </w:r>
                  </w:p>
                  <w:p>
                    <w:pPr>
                      <w:pStyle w:val="LineNumbers"/>
                      <w:spacing w:lineRule="auto" w:line="360"/>
                      <w:rPr>
                        <w:rFonts w:ascii="Book Antiqua" w:hAnsi="Book Antiqua" w:cs="Book Antiqua"/>
                        <w:sz w:val="24"/>
                      </w:rPr>
                    </w:pPr>
                    <w:r>
                      <w:rPr>
                        <w:rFonts w:cs="Book Antiqua" w:ascii="Book Antiqua" w:hAnsi="Book Antiqua"/>
                        <w:sz w:val="24"/>
                      </w:rPr>
                      <w:t>11</w:t>
                    </w:r>
                  </w:p>
                  <w:p>
                    <w:pPr>
                      <w:pStyle w:val="LineNumbers"/>
                      <w:spacing w:lineRule="auto" w:line="360"/>
                      <w:rPr>
                        <w:rFonts w:ascii="Book Antiqua" w:hAnsi="Book Antiqua" w:cs="Book Antiqua"/>
                        <w:sz w:val="24"/>
                      </w:rPr>
                    </w:pPr>
                    <w:r>
                      <w:rPr>
                        <w:rFonts w:cs="Book Antiqua" w:ascii="Book Antiqua" w:hAnsi="Book Antiqua"/>
                        <w:sz w:val="24"/>
                      </w:rPr>
                      <w:t>12</w:t>
                    </w:r>
                  </w:p>
                  <w:p>
                    <w:pPr>
                      <w:pStyle w:val="LineNumbers"/>
                      <w:spacing w:lineRule="auto" w:line="360"/>
                      <w:rPr>
                        <w:rFonts w:ascii="Book Antiqua" w:hAnsi="Book Antiqua" w:cs="Book Antiqua"/>
                        <w:sz w:val="24"/>
                      </w:rPr>
                    </w:pPr>
                    <w:r>
                      <w:rPr>
                        <w:rFonts w:cs="Book Antiqua" w:ascii="Book Antiqua" w:hAnsi="Book Antiqua"/>
                        <w:sz w:val="24"/>
                      </w:rPr>
                      <w:t>13</w:t>
                    </w:r>
                  </w:p>
                  <w:p>
                    <w:pPr>
                      <w:pStyle w:val="LineNumbers"/>
                      <w:spacing w:lineRule="auto" w:line="360"/>
                      <w:rPr>
                        <w:rFonts w:ascii="Book Antiqua" w:hAnsi="Book Antiqua" w:cs="Book Antiqua"/>
                        <w:sz w:val="24"/>
                      </w:rPr>
                    </w:pPr>
                    <w:r>
                      <w:rPr>
                        <w:rFonts w:cs="Book Antiqua" w:ascii="Book Antiqua" w:hAnsi="Book Antiqua"/>
                        <w:sz w:val="24"/>
                      </w:rPr>
                      <w:t>14</w:t>
                    </w:r>
                  </w:p>
                  <w:p>
                    <w:pPr>
                      <w:pStyle w:val="LineNumbers"/>
                      <w:spacing w:lineRule="auto" w:line="360"/>
                      <w:rPr>
                        <w:rFonts w:ascii="Book Antiqua" w:hAnsi="Book Antiqua" w:cs="Book Antiqua"/>
                        <w:sz w:val="24"/>
                      </w:rPr>
                    </w:pPr>
                    <w:r>
                      <w:rPr>
                        <w:rFonts w:cs="Book Antiqua" w:ascii="Book Antiqua" w:hAnsi="Book Antiqua"/>
                        <w:sz w:val="24"/>
                      </w:rPr>
                      <w:t>15</w:t>
                    </w:r>
                  </w:p>
                  <w:p>
                    <w:pPr>
                      <w:pStyle w:val="LineNumbers"/>
                      <w:spacing w:lineRule="auto" w:line="360"/>
                      <w:rPr>
                        <w:rFonts w:ascii="Book Antiqua" w:hAnsi="Book Antiqua" w:cs="Book Antiqua"/>
                        <w:sz w:val="24"/>
                      </w:rPr>
                    </w:pPr>
                    <w:r>
                      <w:rPr>
                        <w:rFonts w:cs="Book Antiqua" w:ascii="Book Antiqua" w:hAnsi="Book Antiqua"/>
                        <w:sz w:val="24"/>
                      </w:rPr>
                      <w:t>16</w:t>
                    </w:r>
                  </w:p>
                  <w:p>
                    <w:pPr>
                      <w:pStyle w:val="LineNumbers"/>
                      <w:spacing w:lineRule="auto" w:line="360"/>
                      <w:rPr>
                        <w:rFonts w:ascii="Book Antiqua" w:hAnsi="Book Antiqua" w:cs="Book Antiqua"/>
                        <w:sz w:val="24"/>
                      </w:rPr>
                    </w:pPr>
                    <w:r>
                      <w:rPr>
                        <w:rFonts w:cs="Book Antiqua" w:ascii="Book Antiqua" w:hAnsi="Book Antiqua"/>
                        <w:sz w:val="24"/>
                      </w:rPr>
                      <w:t>17</w:t>
                    </w:r>
                  </w:p>
                  <w:p>
                    <w:pPr>
                      <w:pStyle w:val="LineNumbers"/>
                      <w:spacing w:lineRule="auto" w:line="360"/>
                      <w:rPr>
                        <w:rFonts w:ascii="Book Antiqua" w:hAnsi="Book Antiqua" w:cs="Book Antiqua"/>
                        <w:sz w:val="24"/>
                      </w:rPr>
                    </w:pPr>
                    <w:r>
                      <w:rPr>
                        <w:rFonts w:cs="Book Antiqua" w:ascii="Book Antiqua" w:hAnsi="Book Antiqua"/>
                        <w:sz w:val="24"/>
                      </w:rPr>
                      <w:t>18</w:t>
                    </w:r>
                  </w:p>
                  <w:p>
                    <w:pPr>
                      <w:pStyle w:val="LineNumbers"/>
                      <w:spacing w:lineRule="auto" w:line="360"/>
                      <w:rPr>
                        <w:rFonts w:ascii="Book Antiqua" w:hAnsi="Book Antiqua" w:cs="Book Antiqua"/>
                        <w:sz w:val="24"/>
                      </w:rPr>
                    </w:pPr>
                    <w:r>
                      <w:rPr>
                        <w:rFonts w:cs="Book Antiqua" w:ascii="Book Antiqua" w:hAnsi="Book Antiqua"/>
                        <w:sz w:val="24"/>
                      </w:rPr>
                      <w:t>19</w:t>
                    </w:r>
                  </w:p>
                  <w:p>
                    <w:pPr>
                      <w:pStyle w:val="LineNumbers"/>
                      <w:spacing w:lineRule="auto" w:line="360"/>
                      <w:rPr>
                        <w:rFonts w:ascii="Book Antiqua" w:hAnsi="Book Antiqua" w:cs="Book Antiqua"/>
                        <w:sz w:val="24"/>
                      </w:rPr>
                    </w:pPr>
                    <w:r>
                      <w:rPr>
                        <w:rFonts w:cs="Book Antiqua" w:ascii="Book Antiqua" w:hAnsi="Book Antiqua"/>
                        <w:sz w:val="24"/>
                      </w:rPr>
                      <w:t>20</w:t>
                    </w:r>
                  </w:p>
                  <w:p>
                    <w:pPr>
                      <w:pStyle w:val="LineNumbers"/>
                      <w:spacing w:lineRule="auto" w:line="360"/>
                      <w:rPr>
                        <w:rFonts w:ascii="Book Antiqua" w:hAnsi="Book Antiqua" w:cs="Book Antiqua"/>
                        <w:sz w:val="24"/>
                      </w:rPr>
                    </w:pPr>
                    <w:r>
                      <w:rPr>
                        <w:rFonts w:cs="Book Antiqua" w:ascii="Book Antiqua" w:hAnsi="Book Antiqua"/>
                        <w:sz w:val="24"/>
                      </w:rPr>
                      <w:t>21</w:t>
                    </w:r>
                  </w:p>
                  <w:p>
                    <w:pPr>
                      <w:pStyle w:val="LineNumbers"/>
                      <w:spacing w:lineRule="auto" w:line="360"/>
                      <w:rPr>
                        <w:rFonts w:ascii="Book Antiqua" w:hAnsi="Book Antiqua" w:cs="Book Antiqua"/>
                        <w:sz w:val="24"/>
                      </w:rPr>
                    </w:pPr>
                    <w:r>
                      <w:rPr>
                        <w:rFonts w:cs="Book Antiqua" w:ascii="Book Antiqua" w:hAnsi="Book Antiqua"/>
                        <w:sz w:val="24"/>
                      </w:rPr>
                      <w:t>22</w:t>
                    </w:r>
                  </w:p>
                  <w:p>
                    <w:pPr>
                      <w:pStyle w:val="LineNumbers"/>
                      <w:spacing w:lineRule="auto" w:line="480"/>
                      <w:rPr>
                        <w:rFonts w:ascii="Book Antiqua" w:hAnsi="Book Antiqua" w:cs="Book Antiqua"/>
                        <w:sz w:val="24"/>
                      </w:rPr>
                    </w:pPr>
                    <w:r>
                      <w:rPr>
                        <w:rFonts w:cs="Book Antiqua" w:ascii="Book Antiqua" w:hAnsi="Book Antiqua"/>
                        <w:sz w:val="24"/>
                      </w:rPr>
                      <w:t>23</w:t>
                    </w:r>
                  </w:p>
                  <w:p>
                    <w:pPr>
                      <w:pStyle w:val="LineNumbers"/>
                      <w:spacing w:lineRule="auto" w:line="480"/>
                      <w:rPr>
                        <w:rFonts w:ascii="Book Antiqua" w:hAnsi="Book Antiqua" w:cs="Book Antiqua"/>
                        <w:sz w:val="24"/>
                      </w:rPr>
                    </w:pPr>
                    <w:r>
                      <w:rPr>
                        <w:rFonts w:cs="Book Antiqua" w:ascii="Book Antiqua" w:hAnsi="Book Antiqua"/>
                        <w:sz w:val="24"/>
                      </w:rPr>
                      <w:t>24</w:t>
                    </w:r>
                  </w:p>
                  <w:p>
                    <w:pPr>
                      <w:pStyle w:val="LineNumbers"/>
                      <w:spacing w:lineRule="auto" w:line="480"/>
                      <w:rPr>
                        <w:rFonts w:ascii="Book Antiqua" w:hAnsi="Book Antiqua" w:cs="Book Antiqua"/>
                        <w:sz w:val="24"/>
                      </w:rPr>
                    </w:pPr>
                    <w:r>
                      <w:rPr>
                        <w:rFonts w:cs="Book Antiqua" w:ascii="Book Antiqua" w:hAnsi="Book Antiqua"/>
                        <w:sz w:val="24"/>
                      </w:rPr>
                      <w:t>25</w:t>
                    </w:r>
                  </w:p>
                  <w:p>
                    <w:pPr>
                      <w:pStyle w:val="LineNumbers"/>
                      <w:spacing w:lineRule="auto" w:line="480"/>
                      <w:rPr>
                        <w:rFonts w:ascii="Book Antiqua" w:hAnsi="Book Antiqua" w:cs="Book Antiqua"/>
                        <w:sz w:val="24"/>
                      </w:rPr>
                    </w:pPr>
                    <w:r>
                      <w:rPr>
                        <w:rFonts w:cs="Book Antiqua" w:ascii="Book Antiqua" w:hAnsi="Book Antiqua"/>
                        <w:sz w:val="24"/>
                      </w:rPr>
                      <w:t>26</w:t>
                    </w:r>
                  </w:p>
                  <w:p>
                    <w:pPr>
                      <w:pStyle w:val="LineNumbers"/>
                      <w:spacing w:lineRule="auto" w:line="480"/>
                      <w:rPr>
                        <w:rFonts w:ascii="Book Antiqua" w:hAnsi="Book Antiqua" w:cs="Book Antiqua"/>
                        <w:sz w:val="24"/>
                      </w:rPr>
                    </w:pPr>
                    <w:r>
                      <w:rPr>
                        <w:rFonts w:cs="Book Antiqua" w:ascii="Book Antiqua" w:hAnsi="Book Antiqua"/>
                        <w:sz w:val="24"/>
                      </w:rPr>
                      <w:t>27</w:t>
                      <w:br/>
                      <w:t>28</w:t>
                      <w:tab/>
                      <w:t>82828</w:t>
                    </w:r>
                  </w:p>
                  <w:p>
                    <w:pPr>
                      <w:pStyle w:val="LineNumbers"/>
                      <w:spacing w:lineRule="auto" w:line="480"/>
                      <w:rPr>
                        <w:rFonts w:ascii="Book Antiqua" w:hAnsi="Book Antiqua" w:cs="Book Antiqua"/>
                        <w:sz w:val="24"/>
                      </w:rPr>
                    </w:pPr>
                    <w:r>
                      <w:rPr>
                        <w:rFonts w:cs="Book Antiqua" w:ascii="Book Antiqua" w:hAnsi="Book Antiqua"/>
                        <w:sz w:val="24"/>
                      </w:rPr>
                    </w:r>
                  </w:p>
                  <w:p>
                    <w:pPr>
                      <w:pStyle w:val="LineNumbers"/>
                      <w:spacing w:lineRule="auto" w:line="480"/>
                      <w:rPr>
                        <w:rFonts w:ascii="Book Antiqua" w:hAnsi="Book Antiqua" w:cs="Book Antiqua"/>
                        <w:sz w:val="24"/>
                      </w:rPr>
                    </w:pPr>
                    <w:r>
                      <w:rPr>
                        <w:rFonts w:cs="Book Antiqua" w:ascii="Book Antiqua" w:hAnsi="Book Antiqua"/>
                        <w:sz w:val="24"/>
                      </w:rPr>
                    </w:r>
                  </w:p>
                  <w:p>
                    <w:pPr>
                      <w:pStyle w:val="LineNumbers"/>
                      <w:spacing w:lineRule="auto" w:line="480"/>
                      <w:rPr>
                        <w:rFonts w:ascii="Book Antiqua" w:hAnsi="Book Antiqua" w:cs="Book Antiqua"/>
                        <w:sz w:val="24"/>
                      </w:rPr>
                    </w:pPr>
                    <w:r>
                      <w:rPr>
                        <w:rFonts w:cs="Book Antiqua" w:ascii="Book Antiqua" w:hAnsi="Book Antiqua"/>
                        <w:sz w:val="24"/>
                      </w:rPr>
                    </w:r>
                  </w:p>
                  <w:p>
                    <w:pPr>
                      <w:pStyle w:val="LineNumbers"/>
                      <w:spacing w:lineRule="auto" w:line="480"/>
                      <w:rPr/>
                    </w:pPr>
                    <w:r>
                      <w:rPr>
                        <w:rFonts w:cs="Book Antiqua" w:ascii="Book Antiqua" w:hAnsi="Book Antiqua"/>
                        <w:sz w:val="24"/>
                      </w:rPr>
                      <w:t>2</w:t>
                    </w:r>
                    <w:r>
                      <w:rPr>
                        <w:rFonts w:cs="Book Antiqua" w:ascii="Book Antiqua" w:hAnsi="Book Antiqua"/>
                        <w:sz w:val="20"/>
                      </w:rPr>
                      <w:t>9</w:t>
                    </w:r>
                  </w:p>
                  <w:p>
                    <w:pPr>
                      <w:pStyle w:val="LineNumbers"/>
                      <w:spacing w:lineRule="auto" w:line="480"/>
                      <w:rPr/>
                    </w:pPr>
                    <w:r>
                      <w:rPr/>
                      <w:t>30</w:t>
                    </w:r>
                  </w:p>
                  <w:p>
                    <w:pPr>
                      <w:pStyle w:val="LineNumbers"/>
                      <w:spacing w:lineRule="auto" w:line="480"/>
                      <w:rPr/>
                    </w:pPr>
                    <w:r>
                      <w:rPr/>
                      <w:t>31</w:t>
                    </w:r>
                  </w:p>
                  <w:p>
                    <w:pPr>
                      <w:pStyle w:val="LineNumbers"/>
                      <w:spacing w:lineRule="auto" w:line="480"/>
                      <w:rPr/>
                    </w:pPr>
                    <w:r>
                      <w:rPr/>
                      <w:t>32</w:t>
                    </w:r>
                  </w:p>
                  <w:p>
                    <w:pPr>
                      <w:pStyle w:val="LineNumbers"/>
                      <w:spacing w:lineRule="auto" w:line="480"/>
                      <w:rPr/>
                    </w:pPr>
                    <w:r>
                      <w:rPr/>
                      <w:t>33</w:t>
                    </w:r>
                  </w:p>
                  <w:p>
                    <w:pPr>
                      <w:pStyle w:val="LineNumbers"/>
                      <w:spacing w:lineRule="auto" w:line="480"/>
                      <w:rPr/>
                    </w:pPr>
                    <w:r>
                      <w:rPr/>
                      <w:t>34</w:t>
                    </w:r>
                  </w:p>
                  <w:p>
                    <w:pPr>
                      <w:pStyle w:val="LineNumbers"/>
                      <w:spacing w:lineRule="auto" w:line="480"/>
                      <w:rPr/>
                    </w:pPr>
                    <w:r>
                      <w:rPr/>
                      <w:t>35</w:t>
                    </w:r>
                  </w:p>
                  <w:p>
                    <w:pPr>
                      <w:pStyle w:val="LineNumbers"/>
                      <w:spacing w:lineRule="auto" w:line="480"/>
                      <w:rPr/>
                    </w:pPr>
                    <w:r>
                      <w:rPr/>
                      <w:t>36</w:t>
                    </w:r>
                  </w:p>
                  <w:p>
                    <w:pPr>
                      <w:pStyle w:val="LineNumbers"/>
                      <w:spacing w:lineRule="auto" w:line="480"/>
                      <w:rPr/>
                    </w:pPr>
                    <w:r>
                      <w:rPr/>
                      <w:t>37</w:t>
                    </w:r>
                  </w:p>
                  <w:p>
                    <w:pPr>
                      <w:pStyle w:val="LineNumbers"/>
                      <w:spacing w:lineRule="auto" w:line="480"/>
                      <w:rPr/>
                    </w:pPr>
                    <w:r>
                      <w:rPr/>
                      <w:t>38</w:t>
                    </w:r>
                  </w:p>
                  <w:p>
                    <w:pPr>
                      <w:pStyle w:val="LineNumbers"/>
                      <w:spacing w:lineRule="auto" w:line="480"/>
                      <w:rPr/>
                    </w:pPr>
                    <w:r>
                      <w:rPr/>
                      <w:t>39</w:t>
                    </w:r>
                  </w:p>
                  <w:p>
                    <w:pPr>
                      <w:pStyle w:val="LineNumbers"/>
                      <w:spacing w:lineRule="auto" w:line="480"/>
                      <w:rPr/>
                    </w:pPr>
                    <w:r>
                      <w:rPr/>
                      <w:t>40</w:t>
                    </w:r>
                  </w:p>
                  <w:p>
                    <w:pPr>
                      <w:pStyle w:val="LineNumbers"/>
                      <w:spacing w:lineRule="auto" w:line="480"/>
                      <w:rPr/>
                    </w:pPr>
                    <w:r>
                      <w:rPr/>
                      <w:t>41</w:t>
                    </w:r>
                  </w:p>
                  <w:p>
                    <w:pPr>
                      <w:pStyle w:val="LineNumbers"/>
                      <w:spacing w:lineRule="auto" w:line="480"/>
                      <w:rPr/>
                    </w:pPr>
                    <w:r>
                      <w:rPr/>
                      <w:t>42</w:t>
                    </w:r>
                  </w:p>
                  <w:p>
                    <w:pPr>
                      <w:pStyle w:val="LineNumbers"/>
                      <w:spacing w:lineRule="auto" w:line="480"/>
                      <w:rPr/>
                    </w:pPr>
                    <w:r>
                      <w:rPr/>
                      <w:t>43</w:t>
                    </w:r>
                  </w:p>
                  <w:p>
                    <w:pPr>
                      <w:pStyle w:val="LineNumbers"/>
                      <w:spacing w:lineRule="auto" w:line="480"/>
                      <w:rPr/>
                    </w:pPr>
                    <w:r>
                      <w:rPr/>
                      <w:t>44</w:t>
                    </w:r>
                  </w:p>
                  <w:p>
                    <w:pPr>
                      <w:pStyle w:val="LineNumbers"/>
                      <w:spacing w:lineRule="auto" w:line="480"/>
                      <w:rPr/>
                    </w:pPr>
                    <w:r>
                      <w:rPr/>
                      <w:t>45</w:t>
                    </w:r>
                  </w:p>
                  <w:p>
                    <w:pPr>
                      <w:pStyle w:val="LineNumbers"/>
                      <w:spacing w:lineRule="auto" w:line="480"/>
                      <w:rPr/>
                    </w:pPr>
                    <w:r>
                      <w:rPr/>
                      <w:t>46</w:t>
                    </w:r>
                  </w:p>
                  <w:p>
                    <w:pPr>
                      <w:pStyle w:val="LineNumbers"/>
                      <w:spacing w:lineRule="auto" w:line="480"/>
                      <w:rPr/>
                    </w:pPr>
                    <w:r>
                      <w:rPr/>
                      <w:t>47</w:t>
                    </w:r>
                  </w:p>
                  <w:p>
                    <w:pPr>
                      <w:pStyle w:val="LineNumbers"/>
                      <w:spacing w:lineRule="auto" w:line="480"/>
                      <w:rPr/>
                    </w:pPr>
                    <w:r>
                      <w:rPr/>
                      <w:t>48</w:t>
                    </w:r>
                  </w:p>
                  <w:p>
                    <w:pPr>
                      <w:pStyle w:val="LineNumbers"/>
                      <w:spacing w:lineRule="auto" w:line="480"/>
                      <w:rPr/>
                    </w:pPr>
                    <w:r>
                      <w:rPr/>
                      <w:t>49</w:t>
                    </w:r>
                  </w:p>
                  <w:p>
                    <w:pPr>
                      <w:pStyle w:val="LineNumbers"/>
                      <w:spacing w:lineRule="auto" w:line="480"/>
                      <w:rPr/>
                    </w:pPr>
                    <w:r>
                      <w:rPr/>
                      <w:t>50</w:t>
                    </w:r>
                  </w:p>
                  <w:p>
                    <w:pPr>
                      <w:pStyle w:val="LineNumbers"/>
                      <w:spacing w:lineRule="auto" w:line="480"/>
                      <w:rPr/>
                    </w:pPr>
                    <w:r>
                      <w:rPr/>
                      <w:t>51</w:t>
                    </w:r>
                  </w:p>
                  <w:p>
                    <w:pPr>
                      <w:pStyle w:val="LineNumbers"/>
                      <w:spacing w:lineRule="auto" w:line="480"/>
                      <w:rPr/>
                    </w:pPr>
                    <w:r>
                      <w:rPr/>
                      <w:t>52</w:t>
                    </w:r>
                  </w:p>
                  <w:p>
                    <w:pPr>
                      <w:pStyle w:val="LineNumbers"/>
                      <w:spacing w:lineRule="auto" w:line="480"/>
                      <w:rPr/>
                    </w:pPr>
                    <w:r>
                      <w:rPr/>
                      <w:t>53</w:t>
                    </w:r>
                  </w:p>
                  <w:p>
                    <w:pPr>
                      <w:pStyle w:val="LineNumbers"/>
                      <w:spacing w:lineRule="auto" w:line="480"/>
                      <w:rPr/>
                    </w:pPr>
                    <w:r>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abstractNum>
  <w:abstractNum w:abstractNumId="3">
    <w:lvl w:ilvl="0">
      <w:start w:val="2"/>
      <w:numFmt w:val="decimal"/>
      <w:lvlText w:val="%1."/>
      <w:lvlJc w:val="start"/>
      <w:pPr>
        <w:tabs>
          <w:tab w:val="num" w:pos="360"/>
        </w:tabs>
        <w:ind w:start="360" w:hanging="360"/>
      </w:pPr>
      <w:r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5"/>
      <w:numFmt w:val="decimal"/>
      <w:lvlText w:val="%1."/>
      <w:lvlJc w:val="start"/>
      <w:pPr>
        <w:tabs>
          <w:tab w:val="num" w:pos="360"/>
        </w:tabs>
        <w:ind w:start="360" w:hanging="360"/>
      </w:pPr>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r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12">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447"/>
    </w:pPr>
    <w:rPr>
      <w:rFonts w:ascii="Courier" w:hAnsi="Courier" w:eastAsia="Times New Roman" w:cs="Courier"/>
      <w:color w:val="auto"/>
      <w:sz w:val="16"/>
      <w:szCs w:val="20"/>
      <w:lang w:val="en-US" w:bidi="ar-SA" w:eastAsia="zh-CN"/>
    </w:rPr>
  </w:style>
  <w:style w:type="paragraph" w:styleId="Heading1">
    <w:name w:val="heading 1"/>
    <w:basedOn w:val="Normal"/>
    <w:next w:val="Normal"/>
    <w:qFormat/>
    <w:pPr>
      <w:numPr>
        <w:ilvl w:val="0"/>
        <w:numId w:val="1"/>
      </w:numPr>
      <w:spacing w:before="240" w:after="60"/>
      <w:outlineLvl w:val="0"/>
    </w:pPr>
    <w:rPr>
      <w:rFonts w:ascii="Arial" w:hAnsi="Arial" w:cs="Arial"/>
      <w:b/>
      <w:sz w:val="28"/>
    </w:rPr>
  </w:style>
  <w:style w:type="paragraph" w:styleId="Heading2">
    <w:name w:val="heading 2"/>
    <w:basedOn w:val="Normal"/>
    <w:next w:val="Normal"/>
    <w:qFormat/>
    <w:pPr>
      <w:numPr>
        <w:ilvl w:val="1"/>
        <w:numId w:val="1"/>
      </w:numPr>
      <w:spacing w:before="240" w:after="60"/>
      <w:outlineLvl w:val="1"/>
    </w:pPr>
    <w:rPr>
      <w:rFonts w:ascii="Arial" w:hAnsi="Arial" w:cs="Arial"/>
      <w:b/>
      <w:i/>
      <w:sz w:val="24"/>
    </w:rPr>
  </w:style>
  <w:style w:type="paragraph" w:styleId="Heading3">
    <w:name w:val="heading 3"/>
    <w:basedOn w:val="Normal"/>
    <w:next w:val="Normal"/>
    <w:qFormat/>
    <w:pPr>
      <w:numPr>
        <w:ilvl w:val="2"/>
        <w:numId w:val="1"/>
      </w:numPr>
      <w:spacing w:before="240" w:after="60"/>
      <w:outlineLvl w:val="2"/>
    </w:pPr>
    <w:rPr>
      <w:b/>
      <w:sz w:val="24"/>
    </w:rPr>
  </w:style>
  <w:style w:type="paragraph" w:styleId="Heading4">
    <w:name w:val="heading 4"/>
    <w:basedOn w:val="Normal"/>
    <w:next w:val="Normal"/>
    <w:qFormat/>
    <w:pPr>
      <w:keepNext w:val="true"/>
      <w:numPr>
        <w:ilvl w:val="3"/>
        <w:numId w:val="1"/>
      </w:numPr>
      <w:spacing w:lineRule="auto" w:line="480"/>
      <w:jc w:val="center"/>
      <w:outlineLvl w:val="3"/>
    </w:pPr>
    <w:rPr>
      <w:rFonts w:ascii="Book Antiqua" w:hAnsi="Book Antiqua" w:cs="Book Antiqua"/>
      <w:b/>
      <w:sz w:val="24"/>
      <w:u w:val="single"/>
    </w:rPr>
  </w:style>
  <w:style w:type="paragraph" w:styleId="Heading5">
    <w:name w:val="heading 5"/>
    <w:basedOn w:val="Normal"/>
    <w:next w:val="Normal"/>
    <w:qFormat/>
    <w:pPr>
      <w:keepNext w:val="true"/>
      <w:numPr>
        <w:ilvl w:val="4"/>
        <w:numId w:val="1"/>
      </w:numPr>
      <w:outlineLvl w:val="4"/>
    </w:pPr>
    <w:rPr>
      <w:rFonts w:ascii="Book Antiqua" w:hAnsi="Book Antiqua" w:cs="Book Antiqua"/>
      <w:sz w:val="24"/>
      <w:u w:val="single"/>
    </w:rPr>
  </w:style>
  <w:style w:type="paragraph" w:styleId="Heading6">
    <w:name w:val="heading 6"/>
    <w:basedOn w:val="Normal"/>
    <w:next w:val="Normal"/>
    <w:qFormat/>
    <w:pPr>
      <w:keepNext w:val="true"/>
      <w:numPr>
        <w:ilvl w:val="5"/>
        <w:numId w:val="1"/>
      </w:numPr>
      <w:jc w:val="center"/>
      <w:outlineLvl w:val="5"/>
    </w:pPr>
    <w:rPr>
      <w:rFonts w:ascii="Book Antiqua" w:hAnsi="Book Antiqua" w:cs="Book Antiqua"/>
      <w:b/>
      <w:sz w:val="24"/>
    </w:rPr>
  </w:style>
  <w:style w:type="paragraph" w:styleId="Heading7">
    <w:name w:val="heading 7"/>
    <w:basedOn w:val="Normal"/>
    <w:next w:val="Normal"/>
    <w:qFormat/>
    <w:pPr>
      <w:keepNext w:val="true"/>
      <w:numPr>
        <w:ilvl w:val="6"/>
        <w:numId w:val="1"/>
      </w:numPr>
      <w:tabs>
        <w:tab w:val="clear" w:pos="720"/>
        <w:tab w:val="left" w:pos="360" w:leader="none"/>
      </w:tabs>
      <w:spacing w:lineRule="auto" w:line="360"/>
      <w:jc w:val="center"/>
      <w:outlineLvl w:val="6"/>
    </w:pPr>
    <w:rPr>
      <w:rFonts w:ascii="Book Antiqua" w:hAnsi="Book Antiqua" w:cs="Book Antiqua"/>
      <w:sz w:val="22"/>
    </w:rPr>
  </w:style>
  <w:style w:type="paragraph" w:styleId="Heading8">
    <w:name w:val="heading 8"/>
    <w:basedOn w:val="Normal"/>
    <w:next w:val="Normal"/>
    <w:qFormat/>
    <w:pPr>
      <w:keepNext w:val="true"/>
      <w:numPr>
        <w:ilvl w:val="7"/>
        <w:numId w:val="1"/>
      </w:numPr>
      <w:spacing w:lineRule="auto" w:line="360"/>
      <w:outlineLvl w:val="7"/>
    </w:pPr>
    <w:rPr>
      <w:rFonts w:ascii="Book Antiqua" w:hAnsi="Book Antiqua" w:cs="Book Antiqua"/>
      <w:b/>
      <w:sz w:val="24"/>
      <w:u w:val="single"/>
    </w:rPr>
  </w:style>
  <w:style w:type="paragraph" w:styleId="Heading9">
    <w:name w:val="heading 9"/>
    <w:basedOn w:val="Normal"/>
    <w:next w:val="Normal"/>
    <w:qFormat/>
    <w:pPr>
      <w:keepNext w:val="true"/>
      <w:numPr>
        <w:ilvl w:val="8"/>
        <w:numId w:val="1"/>
      </w:numPr>
      <w:outlineLvl w:val="8"/>
    </w:pPr>
    <w:rPr>
      <w:rFonts w:ascii="Book Antiqua" w:hAnsi="Book Antiqua" w:cs="Book Antiqua"/>
      <w:i/>
      <w:iCs/>
      <w:sz w:val="24"/>
    </w:rPr>
  </w:style>
  <w:style w:type="character" w:styleId="WW8Num2z0">
    <w:name w:val="WW8Num2z0"/>
    <w:qFormat/>
    <w:rPr/>
  </w:style>
  <w:style w:type="character" w:styleId="WW8Num3z0">
    <w:name w:val="WW8Num3z0"/>
    <w:qFormat/>
    <w:rPr/>
  </w:style>
  <w:style w:type="character" w:styleId="WW8Num10z0">
    <w:name w:val="WW8Num10z0"/>
    <w:qFormat/>
    <w:rPr/>
  </w:style>
  <w:style w:type="character" w:styleId="WW8Num14z0">
    <w:name w:val="WW8Num14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 w:hAnsi="Book Antiqua" w:cs="Book Antiqua"/>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neNumbers">
    <w:name w:val="LineNumbers"/>
    <w:basedOn w:val="Normal"/>
    <w:qFormat/>
    <w:pPr>
      <w:jc w:val="end"/>
    </w:pPr>
    <w:rPr/>
  </w:style>
  <w:style w:type="paragraph" w:styleId="NormalIndent">
    <w:name w:val="Normal Indent"/>
    <w:basedOn w:val="Normal"/>
    <w:qFormat/>
    <w:pPr>
      <w:ind w:hanging="0" w:start="720" w:end="0"/>
    </w:pPr>
    <w:rPr>
      <w:rFonts w:ascii="Tms Rmn" w:hAnsi="Tms Rmn" w:cs="Tms Rmn"/>
      <w:sz w:val="3276"/>
    </w:rPr>
  </w:style>
  <w:style w:type="paragraph" w:styleId="SingleSpacing">
    <w:name w:val="Single Spacing"/>
    <w:basedOn w:val="Normal"/>
    <w:qFormat/>
    <w:pPr>
      <w:spacing w:lineRule="exact" w:line="223"/>
    </w:pPr>
    <w:rPr/>
  </w:style>
  <w:style w:type="paragraph" w:styleId="Address">
    <w:name w:val="Address"/>
    <w:basedOn w:val="SingleSpacing"/>
    <w:qFormat/>
    <w:pPr/>
    <w:rPr/>
  </w:style>
  <w:style w:type="paragraph" w:styleId="15Spacing">
    <w:name w:val="1.5 Spacing"/>
    <w:basedOn w:val="Normal"/>
    <w:qFormat/>
    <w:pPr>
      <w:spacing w:lineRule="exact" w:line="335"/>
    </w:pPr>
    <w:rPr/>
  </w:style>
  <w:style w:type="paragraph" w:styleId="DoubleSpacing">
    <w:name w:val="Double Spacing"/>
    <w:basedOn w:val="Normal"/>
    <w:qFormat/>
    <w:pPr/>
    <w:rPr/>
  </w:style>
  <w:style w:type="paragraph" w:styleId="CourtName">
    <w:name w:val="CourtName"/>
    <w:basedOn w:val="Normal"/>
    <w:qFormat/>
    <w:pPr/>
    <w:rPr/>
  </w:style>
  <w:style w:type="paragraph" w:styleId="FootnoteText">
    <w:name w:val="footnote text"/>
    <w:basedOn w:val="Normal"/>
    <w:pPr/>
    <w:rPr>
      <w:sz w:val="20"/>
    </w:rPr>
  </w:style>
  <w:style w:type="paragraph" w:styleId="BodyText2">
    <w:name w:val="Body Text 2"/>
    <w:basedOn w:val="Normal"/>
    <w:qFormat/>
    <w:pPr>
      <w:spacing w:lineRule="auto" w:line="360"/>
      <w:ind w:hanging="0" w:start="360" w:end="0"/>
    </w:pPr>
    <w:rPr>
      <w:rFonts w:ascii="Times New Roman" w:hAnsi="Times New Roman" w:cs="Times New Roman"/>
      <w:sz w:val="24"/>
    </w:rPr>
  </w:style>
  <w:style w:type="paragraph" w:styleId="BlockText">
    <w:name w:val="Block Text"/>
    <w:basedOn w:val="Normal"/>
    <w:qFormat/>
    <w:pPr>
      <w:tabs>
        <w:tab w:val="clear" w:pos="720"/>
        <w:tab w:val="left" w:pos="360" w:leader="none"/>
      </w:tabs>
      <w:spacing w:lineRule="auto" w:line="360"/>
      <w:ind w:hanging="360" w:start="360" w:end="-360"/>
    </w:pPr>
    <w:rPr>
      <w:rFonts w:ascii="Times New Roman" w:hAnsi="Times New Roman" w:cs="Times New Roman"/>
      <w:sz w:val="24"/>
    </w:rPr>
  </w:style>
  <w:style w:type="paragraph" w:styleId="WW-BodyText2">
    <w:name w:val="WW-Body Text 2"/>
    <w:basedOn w:val="Normal"/>
    <w:qFormat/>
    <w:pPr>
      <w:spacing w:lineRule="auto" w:line="480"/>
      <w:ind w:hanging="0" w:start="720" w:end="0"/>
    </w:pPr>
    <w:rPr>
      <w:rFonts w:ascii="Book Antiqua" w:hAnsi="Book Antiqua" w:cs="Book Antiqua"/>
      <w:sz w:val="24"/>
    </w:rPr>
  </w:style>
  <w:style w:type="paragraph" w:styleId="BodyText3">
    <w:name w:val="Body Text 3"/>
    <w:basedOn w:val="Normal"/>
    <w:qFormat/>
    <w:pPr>
      <w:spacing w:lineRule="auto" w:line="360" w:before="120" w:after="0"/>
      <w:jc w:val="both"/>
    </w:pPr>
    <w:rPr>
      <w:rFonts w:ascii="Book Antiqua" w:hAnsi="Book Antiqua" w:cs="Book Antiqua"/>
      <w:sz w:val="24"/>
    </w:rPr>
  </w:style>
  <w:style w:type="paragraph" w:styleId="WW-BodyText21">
    <w:name w:val="WW-Body Text 21"/>
    <w:basedOn w:val="Normal"/>
    <w:qFormat/>
    <w:pPr>
      <w:spacing w:lineRule="auto" w:line="240" w:before="0" w:after="120"/>
      <w:ind w:hanging="0" w:start="360" w:end="0"/>
    </w:pPr>
    <w:rPr>
      <w:rFonts w:ascii="Times New Roman" w:hAnsi="Times New Roman" w:cs="Times New Roman"/>
      <w:sz w:val="26"/>
    </w:rPr>
  </w:style>
  <w:style w:type="paragraph" w:styleId="Bullet3">
    <w:name w:val="Bullet 3"/>
    <w:basedOn w:val="Normal"/>
    <w:qFormat/>
    <w:pPr>
      <w:spacing w:lineRule="auto" w:line="240" w:before="60" w:after="0"/>
      <w:ind w:hanging="720" w:start="1440" w:end="0"/>
    </w:pPr>
    <w:rPr>
      <w:rFonts w:ascii="Times New Roman" w:hAnsi="Times New Roman" w:cs="Times New Roman"/>
      <w:sz w:val="24"/>
    </w:rPr>
  </w:style>
  <w:style w:type="paragraph" w:styleId="Bullet4">
    <w:name w:val="Bullet 4"/>
    <w:basedOn w:val="Normal"/>
    <w:qFormat/>
    <w:pPr>
      <w:spacing w:lineRule="auto" w:line="240" w:before="60" w:after="0"/>
      <w:ind w:hanging="936" w:start="2016" w:end="0"/>
    </w:pPr>
    <w:rPr>
      <w:rFonts w:ascii="Times New Roman" w:hAnsi="Times New Roman" w:cs="Times New Roman"/>
      <w:sz w:val="24"/>
    </w:rPr>
  </w:style>
  <w:style w:type="paragraph" w:styleId="WW-BodyText22">
    <w:name w:val="WW-Body Text 22"/>
    <w:basedOn w:val="Normal"/>
    <w:qFormat/>
    <w:pPr>
      <w:ind w:firstLine="720" w:start="0" w:end="0"/>
      <w:jc w:val="both"/>
    </w:pPr>
    <w:rPr>
      <w:rFonts w:ascii="Book Antiqua" w:hAnsi="Book Antiqua" w:cs="Book Antiqua"/>
      <w:sz w:val="24"/>
    </w:rPr>
  </w:style>
  <w:style w:type="paragraph" w:styleId="BodyTextIndent2">
    <w:name w:val="Body Text Indent 2"/>
    <w:basedOn w:val="Normal"/>
    <w:qFormat/>
    <w:pPr>
      <w:spacing w:lineRule="auto" w:line="480"/>
      <w:ind w:firstLine="720" w:start="0" w:end="0"/>
    </w:pPr>
    <w:rPr>
      <w:rFonts w:ascii="Book Antiqua" w:hAnsi="Book Antiqua" w:cs="Book Antiqua"/>
      <w:sz w:val="24"/>
    </w:rPr>
  </w:style>
  <w:style w:type="paragraph" w:styleId="BodyTextIndent">
    <w:name w:val="Body Text Indent"/>
    <w:basedOn w:val="Normal"/>
    <w:pPr>
      <w:spacing w:lineRule="auto" w:line="360"/>
      <w:ind w:hanging="720" w:start="720" w:end="0"/>
    </w:pPr>
    <w:rPr>
      <w:rFonts w:ascii="Book Antiqua" w:hAnsi="Book Antiqua" w:cs="Book Antiqua"/>
      <w:sz w:val="24"/>
    </w:rPr>
  </w:style>
  <w:style w:type="paragraph" w:styleId="FirmName">
    <w:name w:val="Firm Name"/>
    <w:basedOn w:val="Normal"/>
    <w:qFormat/>
    <w:pPr>
      <w:spacing w:lineRule="exact" w:line="227"/>
      <w:jc w:val="center"/>
    </w:pPr>
    <w:rPr>
      <w:rFonts w:ascii="Courier New" w:hAnsi="Courier New" w:cs="Courier New"/>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2000-05-03T20:51:00Z</dcterms:created>
  <dc:creator>ETS-CS</dc:creator>
  <dc:description/>
  <dc:language>en-CA</dc:language>
  <cp:lastModifiedBy>SoCalGasCo.</cp:lastModifiedBy>
  <cp:lastPrinted>2000-05-03T16:25:00Z</cp:lastPrinted>
  <dcterms:modified xsi:type="dcterms:W3CDTF">2000-05-03T21:50:00Z</dcterms:modified>
  <cp:revision>5</cp:revision>
  <dc:subject/>
  <dc:title>Prepared Direct Testimony</dc:title>
</cp:coreProperties>
</file>