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essageHeaderLast"/>
        <w:pBdr>
          <w:bottom w:val="single" w:sz="6" w:space="0" w:color="000000"/>
        </w:pBdr>
        <w:rPr/>
      </w:pPr>
      <w:r>
        <w:rPr/>
      </w:r>
    </w:p>
    <w:p>
      <w:pPr>
        <w:pStyle w:val="Heading6"/>
        <w:rPr/>
      </w:pPr>
      <w:r>
        <w:rPr/>
        <w:t>Balancing</w:t>
      </w:r>
    </w:p>
    <w:p>
      <w:pPr>
        <w:pStyle w:val="Normal"/>
        <w:numPr>
          <w:ilvl w:val="0"/>
          <w:numId w:val="33"/>
        </w:numPr>
        <w:spacing w:lineRule="auto" w:line="360"/>
        <w:jc w:val="both"/>
        <w:rPr>
          <w:b/>
        </w:rPr>
      </w:pPr>
      <w:r>
        <w:rPr>
          <w:b/>
        </w:rPr>
        <w:t>Bundled Balancing is Default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1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  However, Transwestern offers this observation for consideration:</w:t>
      </w:r>
    </w:p>
    <w:p>
      <w:pPr>
        <w:pStyle w:val="Normal"/>
        <w:spacing w:lineRule="auto" w:line="360"/>
        <w:ind w:start="720" w:end="-360"/>
        <w:jc w:val="both"/>
        <w:rPr/>
      </w:pPr>
      <w:r>
        <w:rPr/>
      </w:r>
    </w:p>
    <w:p>
      <w:pPr>
        <w:pStyle w:val="Normal"/>
        <w:numPr>
          <w:ilvl w:val="0"/>
          <w:numId w:val="50"/>
        </w:numPr>
        <w:spacing w:lineRule="auto" w:line="360"/>
        <w:jc w:val="both"/>
        <w:rPr/>
      </w:pPr>
      <w:r>
        <w:rPr/>
        <w:t>An analysis of SoCal’s February 18</w:t>
      </w:r>
      <w:r>
        <w:rPr>
          <w:vertAlign w:val="superscript"/>
        </w:rPr>
        <w:t>th</w:t>
      </w:r>
      <w:r>
        <w:rPr/>
        <w:t xml:space="preserve"> settlement offer reveals that with a core injection capacity of 326 MMcf/d out of a total injection capacity of 803 MMcf/d, and an allocation of 350 MMcf/d of injection capacity to system balancing, leaves only 127 MMcf/d of injection capacity for SoCal’s unbundled at-risk storage program.  With the core inventory at 55 Bcf and Recourse Balancing at 2.6 Bcf, that leaves 48 Bcf of SoCal’s inventory at-risk.  A 127 MMcf/d injection rate over the 214 days (April-October) of the typical injection season equals only 27.2 Bcf of inventory, or only 57% of SoCal’s inventory at-risk.  The remaining 20.8 Bcf of inventory at-risk is stranded.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0"/>
        </w:numPr>
        <w:spacing w:lineRule="auto" w:line="360"/>
        <w:jc w:val="both"/>
        <w:rPr>
          <w:b/>
        </w:rPr>
      </w:pPr>
      <w:r>
        <w:rPr>
          <w:b/>
        </w:rPr>
        <w:t>Self Balancing Option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6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8"/>
        </w:numPr>
        <w:spacing w:lineRule="auto" w:line="360"/>
        <w:jc w:val="both"/>
        <w:rPr>
          <w:b/>
        </w:rPr>
      </w:pPr>
      <w:r>
        <w:rPr>
          <w:b/>
        </w:rPr>
        <w:t>Anonymous Imbalance Trading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1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52"/>
        </w:numPr>
        <w:spacing w:lineRule="auto" w:line="360"/>
        <w:jc w:val="both"/>
        <w:rPr>
          <w:b/>
        </w:rPr>
      </w:pPr>
      <w:r>
        <w:rPr>
          <w:b/>
        </w:rPr>
        <w:t>Cost Recovery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1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Heading6"/>
        <w:rPr/>
      </w:pPr>
      <w:r>
        <w:rPr/>
        <w:t>Storage</w:t>
      </w:r>
    </w:p>
    <w:p>
      <w:pPr>
        <w:pStyle w:val="Normal"/>
        <w:numPr>
          <w:ilvl w:val="0"/>
          <w:numId w:val="48"/>
        </w:numPr>
        <w:tabs>
          <w:tab w:val="clear" w:pos="720"/>
          <w:tab w:val="left" w:pos="360" w:leader="none"/>
        </w:tabs>
        <w:spacing w:lineRule="auto" w:line="360"/>
        <w:ind w:hanging="720" w:start="720" w:end="-360"/>
        <w:jc w:val="both"/>
        <w:rPr/>
      </w:pPr>
      <w:r>
        <w:rPr>
          <w:b/>
        </w:rPr>
        <w:t>Unbundled Embedded Cost of Storage</w:t>
      </w:r>
    </w:p>
    <w:p>
      <w:pPr>
        <w:pStyle w:val="Normal"/>
        <w:spacing w:lineRule="auto" w:line="360"/>
        <w:ind w:start="360" w:end="-360"/>
        <w:jc w:val="both"/>
        <w:rPr/>
      </w:pPr>
      <w:r>
        <w:rPr/>
      </w:r>
    </w:p>
    <w:p>
      <w:pPr>
        <w:pStyle w:val="Normal"/>
        <w:numPr>
          <w:ilvl w:val="0"/>
          <w:numId w:val="40"/>
        </w:numPr>
        <w:tabs>
          <w:tab w:val="left" w:pos="720" w:leader="none"/>
        </w:tabs>
        <w:spacing w:lineRule="auto" w:line="360"/>
        <w:ind w:hanging="360" w:start="720" w:end="-360"/>
        <w:jc w:val="both"/>
        <w:rPr/>
      </w:pPr>
      <w:r>
        <w:rPr/>
        <w:t xml:space="preserve">Transwestern defers to the consensus position of the non-SoCal settlement parties. 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43"/>
        </w:numPr>
        <w:spacing w:lineRule="auto" w:line="360"/>
        <w:jc w:val="both"/>
        <w:rPr>
          <w:b/>
        </w:rPr>
      </w:pPr>
      <w:r>
        <w:rPr>
          <w:b/>
        </w:rPr>
        <w:t>Core Reserved Amount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9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ind w:start="360" w:end="-360"/>
        <w:jc w:val="both"/>
        <w:rPr/>
      </w:pPr>
      <w:r>
        <w:rPr/>
      </w:r>
    </w:p>
    <w:p>
      <w:pPr>
        <w:pStyle w:val="Normal"/>
        <w:numPr>
          <w:ilvl w:val="0"/>
          <w:numId w:val="16"/>
        </w:numPr>
        <w:spacing w:lineRule="auto" w:line="360"/>
        <w:jc w:val="both"/>
        <w:rPr>
          <w:b/>
        </w:rPr>
      </w:pPr>
      <w:r>
        <w:rPr>
          <w:b/>
        </w:rPr>
        <w:t>Unbundled Costs for CATs and Wholesale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9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7"/>
        </w:numPr>
        <w:spacing w:lineRule="auto" w:line="360"/>
        <w:jc w:val="both"/>
        <w:rPr>
          <w:b/>
        </w:rPr>
      </w:pPr>
      <w:r>
        <w:rPr>
          <w:b/>
        </w:rPr>
        <w:t>Remainder Unbundled Storage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9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1"/>
        </w:numPr>
        <w:spacing w:lineRule="auto" w:line="360"/>
        <w:jc w:val="both"/>
        <w:rPr>
          <w:b/>
        </w:rPr>
      </w:pPr>
      <w:r>
        <w:rPr>
          <w:b/>
        </w:rPr>
        <w:t>Market Concentration Limit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8"/>
        </w:numPr>
        <w:spacing w:lineRule="auto" w:line="360"/>
        <w:ind w:hanging="360" w:start="720" w:end="-360"/>
        <w:jc w:val="both"/>
        <w:rPr/>
      </w:pPr>
      <w:r>
        <w:rPr/>
        <w:t>In light of the fact that SoCalGas is the only “in franchise area” storage provider at this time, consideration of a market concentration limit is appropriate.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34"/>
        </w:numPr>
        <w:spacing w:lineRule="auto" w:line="360"/>
        <w:jc w:val="both"/>
        <w:rPr>
          <w:b/>
        </w:rPr>
      </w:pPr>
      <w:r>
        <w:rPr>
          <w:b/>
        </w:rPr>
        <w:t>Utility At Risk for Storage Services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5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2"/>
        </w:numPr>
        <w:spacing w:lineRule="auto" w:line="360"/>
        <w:jc w:val="both"/>
        <w:rPr>
          <w:b/>
        </w:rPr>
      </w:pPr>
      <w:r>
        <w:rPr>
          <w:b/>
        </w:rPr>
        <w:t>Secondary and As-Available Market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3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Heading6"/>
        <w:rPr/>
      </w:pPr>
      <w:r>
        <w:rPr/>
        <w:t>Transmission</w:t>
      </w:r>
    </w:p>
    <w:p>
      <w:pPr>
        <w:pStyle w:val="Normal"/>
        <w:spacing w:lineRule="auto" w:line="360"/>
        <w:ind w:start="360" w:end="-360"/>
        <w:jc w:val="both"/>
        <w:rPr/>
      </w:pPr>
      <w:r>
        <w:rPr/>
      </w:r>
    </w:p>
    <w:p>
      <w:pPr>
        <w:pStyle w:val="Heading1"/>
        <w:numPr>
          <w:ilvl w:val="0"/>
          <w:numId w:val="18"/>
        </w:numPr>
        <w:tabs>
          <w:tab w:val="clear" w:pos="720"/>
          <w:tab w:val="left" w:pos="360" w:leader="none"/>
        </w:tabs>
        <w:ind w:hanging="360" w:start="360" w:end="-360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Unbundled Embedded Cost of Intrastate Transmission</w:t>
      </w:r>
    </w:p>
    <w:p>
      <w:pPr>
        <w:pStyle w:val="Normal"/>
        <w:spacing w:lineRule="auto" w:line="360"/>
        <w:ind w:start="360" w:end="-360"/>
        <w:jc w:val="both"/>
        <w:rPr>
          <w:rFonts w:ascii="Times New Roman" w:hAnsi="Times New Roman" w:cs="Times New Roman"/>
          <w:sz w:val="20"/>
        </w:rPr>
      </w:pPr>
      <w:r>
        <w:rPr>
          <w:rFonts w:cs="Times New Roman"/>
          <w:sz w:val="20"/>
        </w:rPr>
      </w:r>
    </w:p>
    <w:p>
      <w:pPr>
        <w:pStyle w:val="Normal"/>
        <w:numPr>
          <w:ilvl w:val="0"/>
          <w:numId w:val="4"/>
        </w:numPr>
        <w:spacing w:lineRule="auto" w:line="360"/>
        <w:ind w:hanging="360" w:start="720" w:end="-360"/>
        <w:jc w:val="both"/>
        <w:rPr/>
      </w:pPr>
      <w:r>
        <w:rPr/>
        <w:t>Transwestern supports the adoption of a separate (negotiated) embedded cost for SoCal’s (1) backbone and (2) local transmission systems for the settlement period.</w:t>
      </w:r>
    </w:p>
    <w:p>
      <w:pPr>
        <w:pStyle w:val="Normal"/>
        <w:numPr>
          <w:ilvl w:val="0"/>
          <w:numId w:val="4"/>
        </w:numPr>
        <w:spacing w:lineRule="auto" w:line="360"/>
        <w:ind w:hanging="360" w:start="720" w:end="-360"/>
        <w:jc w:val="both"/>
        <w:rPr/>
      </w:pPr>
      <w:r>
        <w:rPr/>
        <w:t>Transwestern defers to the non-SoCal settlement parties regarding productivity offsets and/or off ramp adjustments.</w:t>
      </w:r>
    </w:p>
    <w:p>
      <w:pPr>
        <w:pStyle w:val="Normal"/>
        <w:numPr>
          <w:ilvl w:val="0"/>
          <w:numId w:val="4"/>
        </w:numPr>
        <w:spacing w:lineRule="auto" w:line="360"/>
        <w:ind w:hanging="360" w:start="720" w:end="-360"/>
        <w:jc w:val="both"/>
        <w:rPr/>
      </w:pPr>
      <w:r>
        <w:rPr/>
        <w:t>Backbone transmission service rates are on a postage stamp basis for each path.</w:t>
      </w:r>
    </w:p>
    <w:p>
      <w:pPr>
        <w:pStyle w:val="Normal"/>
        <w:numPr>
          <w:ilvl w:val="0"/>
          <w:numId w:val="4"/>
        </w:numPr>
        <w:spacing w:lineRule="auto" w:line="360"/>
        <w:ind w:hanging="360" w:start="720" w:end="-360"/>
        <w:jc w:val="both"/>
        <w:rPr/>
      </w:pPr>
      <w:r>
        <w:rPr/>
        <w:t>Local transmission service is bundled with other SoCal distribution services and rates are on a volumetric basis.</w:t>
      </w:r>
    </w:p>
    <w:p>
      <w:pPr>
        <w:pStyle w:val="Normal"/>
        <w:spacing w:lineRule="auto" w:line="360"/>
        <w:ind w:start="360" w:end="-360"/>
        <w:jc w:val="both"/>
        <w:rPr/>
      </w:pPr>
      <w:r>
        <w:rPr/>
      </w:r>
    </w:p>
    <w:p>
      <w:pPr>
        <w:pStyle w:val="Normal"/>
        <w:numPr>
          <w:ilvl w:val="0"/>
          <w:numId w:val="51"/>
        </w:numPr>
        <w:spacing w:lineRule="auto" w:line="360"/>
        <w:jc w:val="both"/>
        <w:rPr/>
      </w:pPr>
      <w:r>
        <w:rPr>
          <w:b/>
        </w:rPr>
        <w:t>Hector Road/South Needles</w:t>
      </w:r>
    </w:p>
    <w:p>
      <w:pPr>
        <w:pStyle w:val="Normal"/>
        <w:spacing w:lineRule="auto" w:line="360"/>
        <w:ind w:start="0" w:end="-360"/>
        <w:jc w:val="both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lineRule="auto" w:line="360"/>
        <w:ind w:hanging="360" w:start="720" w:end="-360"/>
        <w:jc w:val="both"/>
        <w:rPr/>
      </w:pPr>
      <w:r>
        <w:rPr/>
        <w:t>Transwestern supports the receipt point allocation methodology in CAC settlement proposal with the following modifications:</w:t>
      </w:r>
    </w:p>
    <w:p>
      <w:pPr>
        <w:pStyle w:val="Normal"/>
        <w:numPr>
          <w:ilvl w:val="0"/>
          <w:numId w:val="15"/>
        </w:numPr>
        <w:spacing w:lineRule="auto" w:line="360"/>
        <w:jc w:val="both"/>
        <w:rPr/>
      </w:pPr>
      <w:r>
        <w:rPr/>
        <w:t>Mojave’s interconnection at Hector Road will be designated as a Primary Receipt Point on the SoCal Line 235 path with 50 MMcf/d of primary receipt point capacity. Transwestern’s interconnection at North Needles will continue as a Primary Receipt Point on the SoCal Line 235 path with 750 MMcf/d of primary receipt point capacity.</w:t>
      </w:r>
    </w:p>
    <w:p>
      <w:pPr>
        <w:pStyle w:val="Normal"/>
        <w:numPr>
          <w:ilvl w:val="0"/>
          <w:numId w:val="15"/>
        </w:numPr>
        <w:spacing w:lineRule="auto" w:line="360"/>
        <w:jc w:val="both"/>
        <w:rPr/>
      </w:pPr>
      <w:r>
        <w:rPr/>
        <w:t>Transwestern’s interconnection at Topock will be designated as a Secondary Receipt Point on the SoCal Line 3000 path.  Primary receipts along SoCal Line 3000 path shall be made from El Paso Natural Gas Company’s existing Topock interconnection.</w:t>
      </w:r>
    </w:p>
    <w:p>
      <w:pPr>
        <w:pStyle w:val="Normal"/>
        <w:numPr>
          <w:ilvl w:val="0"/>
          <w:numId w:val="15"/>
        </w:numPr>
        <w:spacing w:lineRule="auto" w:line="360"/>
        <w:jc w:val="both"/>
        <w:rPr/>
      </w:pPr>
      <w:r>
        <w:rPr/>
        <w:t>The sum of primary receipt capacity in any SoCal backbone transmission path shall equal delivery capacity.</w:t>
      </w:r>
    </w:p>
    <w:p>
      <w:pPr>
        <w:pStyle w:val="Normal"/>
        <w:numPr>
          <w:ilvl w:val="0"/>
          <w:numId w:val="15"/>
        </w:numPr>
        <w:spacing w:lineRule="auto" w:line="360"/>
        <w:jc w:val="both"/>
        <w:rPr/>
      </w:pPr>
      <w:r>
        <w:rPr/>
        <w:t>End-users, shippers, and suppliers/marketers should have the ability to elect a primary receipt point for the entire settlement period.</w:t>
      </w:r>
    </w:p>
    <w:p>
      <w:pPr>
        <w:pStyle w:val="Normal"/>
        <w:numPr>
          <w:ilvl w:val="0"/>
          <w:numId w:val="15"/>
        </w:numPr>
        <w:spacing w:lineRule="auto" w:line="360"/>
        <w:jc w:val="both"/>
        <w:rPr/>
      </w:pPr>
      <w:r>
        <w:rPr/>
        <w:t>Firm backbone transportation along each path/corridor includes primary/secondary receipt points according to the following matrix:</w:t>
      </w:r>
    </w:p>
    <w:p>
      <w:pPr>
        <w:pStyle w:val="Normal"/>
        <w:spacing w:lineRule="auto" w:line="360"/>
        <w:jc w:val="both"/>
        <w:rPr/>
      </w:pPr>
      <w:r>
        <w:rPr/>
      </w:r>
    </w:p>
    <w:tbl>
      <w:tblPr>
        <w:tblW w:w="96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0"/>
        <w:gridCol w:w="2070"/>
        <w:gridCol w:w="26"/>
        <w:gridCol w:w="2044"/>
        <w:gridCol w:w="53"/>
        <w:gridCol w:w="2097"/>
        <w:gridCol w:w="10"/>
        <w:gridCol w:w="2250"/>
      </w:tblGrid>
      <w:tr>
        <w:trPr>
          <w:trHeight w:val="263" w:hRule="atLeast"/>
        </w:trPr>
        <w:tc>
          <w:tcPr>
            <w:tcW w:w="1080" w:type="dxa"/>
            <w:vMerge w:val="restart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096" w:type="dxa"/>
            <w:gridSpan w:val="2"/>
            <w:vMerge w:val="restart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454" w:type="dxa"/>
            <w:gridSpan w:val="5"/>
            <w:tcBorders>
              <w:bottom w:val="single" w:sz="4" w:space="0" w:color="000000"/>
            </w:tcBorders>
          </w:tcPr>
          <w:p>
            <w:pPr>
              <w:pStyle w:val="Heading2"/>
              <w:spacing w:lineRule="auto" w:line="240"/>
              <w:rPr/>
            </w:pPr>
            <w:r>
              <w:rPr/>
              <w:t>Receipt Points</w:t>
            </w:r>
          </w:p>
        </w:tc>
      </w:tr>
      <w:tr>
        <w:trPr>
          <w:trHeight w:val="262" w:hRule="atLeast"/>
        </w:trPr>
        <w:tc>
          <w:tcPr>
            <w:tcW w:w="1080" w:type="dxa"/>
            <w:vMerge w:val="continue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096" w:type="dxa"/>
            <w:gridSpan w:val="2"/>
            <w:vMerge w:val="continue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6454" w:type="dxa"/>
            <w:gridSpan w:val="5"/>
            <w:tcBorders/>
          </w:tcPr>
          <w:p>
            <w:pPr>
              <w:pStyle w:val="Heading2"/>
              <w:snapToGrid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96" w:type="dxa"/>
            <w:gridSpan w:val="2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/>
              <w:t>Path/Corridor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Point(s)</w:t>
            </w:r>
          </w:p>
        </w:tc>
        <w:tc>
          <w:tcPr>
            <w:tcW w:w="2097" w:type="dxa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/>
              <w:t>Capacity</w:t>
            </w:r>
          </w:p>
        </w:tc>
        <w:tc>
          <w:tcPr>
            <w:tcW w:w="2260" w:type="dxa"/>
            <w:gridSpan w:val="2"/>
            <w:tcBorders/>
          </w:tcPr>
          <w:p>
            <w:pPr>
              <w:pStyle w:val="Normal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Secondary Point(s)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096" w:type="dxa"/>
            <w:gridSpan w:val="2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/>
              <w:t>Line 235</w:t>
            </w:r>
          </w:p>
          <w:p>
            <w:pPr>
              <w:pStyle w:val="Normal"/>
              <w:rPr/>
            </w:pPr>
            <w:r>
              <w:rPr/>
              <w:t>(Needles)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TW Needles</w:t>
            </w:r>
          </w:p>
          <w:p>
            <w:pPr>
              <w:pStyle w:val="Normal"/>
              <w:ind w:start="0" w:end="-360"/>
              <w:jc w:val="both"/>
              <w:rPr/>
            </w:pPr>
            <w:r>
              <w:rPr/>
              <w:t xml:space="preserve">             </w:t>
            </w:r>
            <w:r>
              <w:rPr/>
              <w:t>Mojave Hector</w:t>
            </w:r>
          </w:p>
        </w:tc>
        <w:tc>
          <w:tcPr>
            <w:tcW w:w="2097" w:type="dxa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>
                <w:b/>
              </w:rPr>
              <w:t>750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cf/d</w:t>
            </w:r>
          </w:p>
          <w:p>
            <w:pPr>
              <w:pStyle w:val="Normal"/>
              <w:rPr/>
            </w:pPr>
            <w:r>
              <w:rPr/>
              <w:t>50 M</w:t>
            </w:r>
            <w:r>
              <w:rPr>
                <w:vertAlign w:val="superscript"/>
              </w:rPr>
              <w:t>2</w:t>
            </w:r>
            <w:r>
              <w:rPr/>
              <w:t>cf/d</w:t>
            </w:r>
          </w:p>
        </w:tc>
        <w:tc>
          <w:tcPr>
            <w:tcW w:w="2260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Mojave Hector</w:t>
            </w:r>
          </w:p>
          <w:p>
            <w:pPr>
              <w:pStyle w:val="Normal"/>
              <w:jc w:val="both"/>
              <w:rPr/>
            </w:pPr>
            <w:r>
              <w:rPr/>
              <w:t>TW Needles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/>
          </w:tcPr>
          <w:p>
            <w:pPr>
              <w:pStyle w:val="Heading3"/>
              <w:spacing w:lineRule="auto" w:line="240" w:before="220" w:after="220"/>
              <w:rPr>
                <w:b/>
              </w:rPr>
            </w:pPr>
            <w:r>
              <w:rPr/>
              <w:t>Line 3000</w:t>
            </w:r>
          </w:p>
          <w:p>
            <w:pPr>
              <w:pStyle w:val="Normal"/>
              <w:rPr/>
            </w:pPr>
            <w:r>
              <w:rPr/>
              <w:t>(Topock)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Normal"/>
              <w:ind w:start="0" w:end="-360"/>
              <w:jc w:val="both"/>
              <w:rPr/>
            </w:pPr>
            <w:r>
              <w:rPr/>
              <w:t xml:space="preserve">             </w:t>
            </w:r>
            <w:r>
              <w:rPr/>
              <w:t>EPNG Topock</w:t>
            </w:r>
          </w:p>
        </w:tc>
        <w:tc>
          <w:tcPr>
            <w:tcW w:w="2097" w:type="dxa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>
                <w:b/>
              </w:rPr>
              <w:t>540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cf/d</w:t>
            </w:r>
          </w:p>
        </w:tc>
        <w:tc>
          <w:tcPr>
            <w:tcW w:w="2260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TW Topock</w:t>
            </w:r>
          </w:p>
          <w:p>
            <w:pPr>
              <w:pStyle w:val="Normal"/>
              <w:jc w:val="both"/>
              <w:rPr/>
            </w:pPr>
            <w:r>
              <w:rPr/>
              <w:t>(S. Needles)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/>
              <w:t>Line 225</w:t>
            </w:r>
          </w:p>
          <w:p>
            <w:pPr>
              <w:pStyle w:val="Normal"/>
              <w:ind w:start="0" w:end="-360"/>
              <w:rPr/>
            </w:pPr>
            <w:r>
              <w:rPr/>
              <w:t xml:space="preserve">          </w:t>
            </w:r>
            <w:r>
              <w:rPr/>
              <w:t>(Wheeler Ridge)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PG&amp;E KRS</w:t>
            </w:r>
          </w:p>
          <w:p>
            <w:pPr>
              <w:pStyle w:val="Normal"/>
              <w:jc w:val="both"/>
              <w:rPr/>
            </w:pPr>
            <w:r>
              <w:rPr/>
              <w:t>Kern/Mojave</w:t>
            </w:r>
          </w:p>
        </w:tc>
        <w:tc>
          <w:tcPr>
            <w:tcW w:w="2097" w:type="dxa"/>
            <w:tcBorders/>
          </w:tcPr>
          <w:p>
            <w:pPr>
              <w:pStyle w:val="Heading3"/>
              <w:spacing w:lineRule="auto" w:line="240" w:before="220" w:after="220"/>
              <w:ind w:start="0" w:end="-360"/>
              <w:rPr/>
            </w:pPr>
            <w:r>
              <w:rPr>
                <w:b/>
              </w:rPr>
              <w:t xml:space="preserve">              </w:t>
            </w:r>
            <w:r>
              <w:rPr>
                <w:b/>
              </w:rPr>
              <w:t>(TBD)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cf/d</w:t>
            </w:r>
          </w:p>
          <w:p>
            <w:pPr>
              <w:pStyle w:val="Normal"/>
              <w:ind w:start="0" w:end="-360"/>
              <w:rPr/>
            </w:pPr>
            <w:r>
              <w:rPr/>
              <w:t xml:space="preserve">             </w:t>
            </w:r>
            <w:r>
              <w:rPr/>
              <w:t>(TBD) M</w:t>
            </w:r>
            <w:r>
              <w:rPr>
                <w:vertAlign w:val="superscript"/>
              </w:rPr>
              <w:t>2</w:t>
            </w:r>
            <w:r>
              <w:rPr/>
              <w:t>cf/d</w:t>
            </w:r>
          </w:p>
        </w:tc>
        <w:tc>
          <w:tcPr>
            <w:tcW w:w="2260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Kern/Mojave</w:t>
            </w:r>
          </w:p>
          <w:p>
            <w:pPr>
              <w:pStyle w:val="Normal"/>
              <w:jc w:val="both"/>
              <w:rPr/>
            </w:pPr>
            <w:r>
              <w:rPr/>
              <w:t>PG&amp;E KRS</w:t>
            </w:r>
          </w:p>
        </w:tc>
      </w:tr>
      <w:tr>
        <w:trPr/>
        <w:tc>
          <w:tcPr>
            <w:tcW w:w="1080" w:type="dxa"/>
            <w:tcBorders/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096" w:type="dxa"/>
            <w:gridSpan w:val="2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/>
              <w:t>Line 2000</w:t>
            </w:r>
          </w:p>
        </w:tc>
        <w:tc>
          <w:tcPr>
            <w:tcW w:w="2097" w:type="dxa"/>
            <w:gridSpan w:val="2"/>
            <w:tcBorders/>
          </w:tcPr>
          <w:p>
            <w:pPr>
              <w:pStyle w:val="Normal"/>
              <w:ind w:start="0" w:end="-360"/>
              <w:jc w:val="both"/>
              <w:rPr/>
            </w:pPr>
            <w:r>
              <w:rPr/>
              <w:t xml:space="preserve">          </w:t>
            </w:r>
            <w:r>
              <w:rPr/>
              <w:t>EPNG Blythe</w:t>
            </w:r>
          </w:p>
        </w:tc>
        <w:tc>
          <w:tcPr>
            <w:tcW w:w="2097" w:type="dxa"/>
            <w:tcBorders/>
          </w:tcPr>
          <w:p>
            <w:pPr>
              <w:pStyle w:val="Heading3"/>
              <w:spacing w:lineRule="auto" w:line="240" w:before="220" w:after="220"/>
              <w:rPr/>
            </w:pPr>
            <w:r>
              <w:rPr>
                <w:b/>
              </w:rPr>
              <w:t>1,210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cf/d</w:t>
            </w:r>
          </w:p>
        </w:tc>
        <w:tc>
          <w:tcPr>
            <w:tcW w:w="2260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/>
              <w:t>N/A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80" w:type="dxa"/>
            <w:tcBorders/>
            <w:tcMar>
              <w:start w:w="97" w:type="dxa"/>
              <w:end w:w="97" w:type="dxa"/>
            </w:tcMar>
          </w:tcPr>
          <w:p>
            <w:pPr>
              <w:pStyle w:val="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2070" w:type="dxa"/>
            <w:tcBorders/>
            <w:tcMar>
              <w:start w:w="97" w:type="dxa"/>
              <w:end w:w="97" w:type="dxa"/>
            </w:tcMar>
          </w:tcPr>
          <w:p>
            <w:pPr>
              <w:pStyle w:val="Heading3"/>
              <w:spacing w:lineRule="auto" w:line="240" w:before="220" w:after="220"/>
              <w:rPr/>
            </w:pPr>
            <w:r>
              <w:rPr/>
              <w:t>Cal Prod</w:t>
            </w:r>
          </w:p>
        </w:tc>
        <w:tc>
          <w:tcPr>
            <w:tcW w:w="2070" w:type="dxa"/>
            <w:gridSpan w:val="2"/>
            <w:tcBorders/>
            <w:tcMar>
              <w:start w:w="97" w:type="dxa"/>
              <w:end w:w="97" w:type="dxa"/>
            </w:tcMar>
          </w:tcPr>
          <w:p>
            <w:pPr>
              <w:pStyle w:val="Normal"/>
              <w:jc w:val="both"/>
              <w:rPr/>
            </w:pPr>
            <w:r>
              <w:rPr/>
              <w:t>TBD</w:t>
            </w:r>
          </w:p>
        </w:tc>
        <w:tc>
          <w:tcPr>
            <w:tcW w:w="2160" w:type="dxa"/>
            <w:gridSpan w:val="3"/>
            <w:tcBorders/>
            <w:tcMar>
              <w:start w:w="97" w:type="dxa"/>
              <w:end w:w="97" w:type="dxa"/>
            </w:tcMar>
          </w:tcPr>
          <w:p>
            <w:pPr>
              <w:pStyle w:val="Heading3"/>
              <w:spacing w:lineRule="auto" w:line="240" w:before="220" w:after="220"/>
              <w:rPr>
                <w:b/>
              </w:rPr>
            </w:pPr>
            <w:r>
              <w:rPr>
                <w:b/>
              </w:rPr>
              <w:t>TBD</w:t>
            </w:r>
          </w:p>
        </w:tc>
        <w:tc>
          <w:tcPr>
            <w:tcW w:w="2250" w:type="dxa"/>
            <w:tcBorders/>
            <w:tcMar>
              <w:start w:w="97" w:type="dxa"/>
              <w:end w:w="97" w:type="dxa"/>
            </w:tcMar>
          </w:tcPr>
          <w:p>
            <w:pPr>
              <w:pStyle w:val="Normal"/>
              <w:jc w:val="both"/>
              <w:rPr/>
            </w:pPr>
            <w:r>
              <w:rPr/>
              <w:t>TBD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spacing w:lineRule="auto" w:line="360"/>
        <w:ind w:hanging="360" w:start="720" w:end="-360"/>
        <w:jc w:val="both"/>
        <w:rPr/>
      </w:pPr>
      <w:r>
        <w:rPr/>
        <w:t>Transmission level services should be prioritized by quality of service firm primary, firm secondary or interruptible.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spacing w:lineRule="auto" w:line="360"/>
        <w:ind w:hanging="360" w:start="720" w:end="-360"/>
        <w:jc w:val="both"/>
        <w:rPr/>
      </w:pPr>
      <w:r>
        <w:rPr/>
        <w:t>Firm backbone transmission service(s) from any receipt point delivers to any “on-system” SoCalGas customer.</w:t>
      </w:r>
    </w:p>
    <w:p>
      <w:pPr>
        <w:pStyle w:val="Normal"/>
        <w:spacing w:lineRule="auto" w:line="360"/>
        <w:ind w:start="0" w:end="-360"/>
        <w:jc w:val="both"/>
        <w:rPr/>
      </w:pPr>
      <w:r>
        <w:rPr/>
      </w:r>
    </w:p>
    <w:p>
      <w:pPr>
        <w:pStyle w:val="Normal"/>
        <w:numPr>
          <w:ilvl w:val="0"/>
          <w:numId w:val="54"/>
        </w:numPr>
        <w:spacing w:lineRule="auto" w:line="360"/>
        <w:jc w:val="both"/>
        <w:rPr/>
      </w:pPr>
      <w:r>
        <w:rPr>
          <w:b/>
        </w:rPr>
        <w:t>Off-System Transmission Service</w:t>
      </w:r>
      <w:r>
        <w:rPr/>
        <w:t xml:space="preserve"> 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9"/>
        </w:numPr>
        <w:tabs>
          <w:tab w:val="left" w:pos="720" w:leader="none"/>
        </w:tabs>
        <w:spacing w:lineRule="auto" w:line="360"/>
        <w:ind w:hanging="360" w:start="720" w:end="-360"/>
        <w:jc w:val="both"/>
        <w:rPr/>
      </w:pPr>
      <w:r>
        <w:rPr/>
        <w:t>Off-system backbone transmission services offered by SoCalGas are available from all receipt points.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45"/>
        </w:numPr>
        <w:spacing w:lineRule="auto" w:line="360"/>
        <w:jc w:val="both"/>
        <w:rPr>
          <w:b/>
        </w:rPr>
      </w:pPr>
      <w:r>
        <w:rPr>
          <w:b/>
        </w:rPr>
        <w:t>Core Capacity to Match Reserved Upstream Interstate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9"/>
        </w:numPr>
        <w:spacing w:lineRule="auto" w:line="360"/>
        <w:ind w:hanging="360" w:start="720" w:end="-360"/>
        <w:jc w:val="both"/>
        <w:rPr/>
      </w:pPr>
      <w:r>
        <w:rPr/>
        <w:t>Transwestern supports matching core capacity rights to interstate commitments.</w:t>
      </w:r>
    </w:p>
    <w:p>
      <w:pPr>
        <w:pStyle w:val="Normal"/>
        <w:numPr>
          <w:ilvl w:val="0"/>
          <w:numId w:val="39"/>
        </w:numPr>
        <w:spacing w:lineRule="auto" w:line="360"/>
        <w:ind w:hanging="360" w:start="720" w:end="-360"/>
        <w:jc w:val="both"/>
        <w:rPr/>
      </w:pPr>
      <w:r>
        <w:rPr/>
        <w:t>Transwestern supports CAT and wholesale options to interstate capacity.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46"/>
        </w:numPr>
        <w:spacing w:lineRule="auto" w:line="360"/>
        <w:jc w:val="both"/>
        <w:rPr>
          <w:b/>
        </w:rPr>
      </w:pPr>
      <w:r>
        <w:rPr>
          <w:b/>
        </w:rPr>
        <w:t>Noncore Recourse Option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53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  However, Transwestern makes the following observations/comments: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 xml:space="preserve">A level of 50% of SoCal noncore’s </w:t>
      </w:r>
      <w:r>
        <w:rPr>
          <w:u w:val="single"/>
        </w:rPr>
        <w:t>historical monthly average demand</w:t>
      </w:r>
      <w:r>
        <w:rPr/>
        <w:t xml:space="preserve"> appears to meet end-user needs.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/>
      </w:pPr>
      <w:r>
        <w:rPr/>
        <w:t>A non-core recourse option mitigates market concentration concerns.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8"/>
        </w:numPr>
        <w:spacing w:lineRule="auto" w:line="360"/>
        <w:jc w:val="both"/>
        <w:rPr>
          <w:b/>
        </w:rPr>
      </w:pPr>
      <w:r>
        <w:rPr>
          <w:b/>
        </w:rPr>
        <w:t>Open Season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5"/>
        </w:numPr>
        <w:spacing w:lineRule="auto" w:line="360"/>
        <w:ind w:hanging="360" w:start="720" w:end="-360"/>
        <w:jc w:val="both"/>
        <w:rPr/>
      </w:pPr>
      <w:r>
        <w:rPr/>
        <w:t>There should be no market concentration limit placed on receipt point capacity reservations in view of (1) SoCal’s supply diversity, (2) transmission path diversity, and (3) non-core’s recourse option.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3"/>
        </w:numPr>
        <w:spacing w:lineRule="auto" w:line="360"/>
        <w:jc w:val="both"/>
        <w:rPr>
          <w:b/>
        </w:rPr>
      </w:pPr>
      <w:r>
        <w:rPr>
          <w:b/>
        </w:rPr>
        <w:t>As-Available Transport Rate Cap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0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37"/>
        </w:numPr>
        <w:spacing w:lineRule="auto" w:line="360"/>
        <w:jc w:val="both"/>
        <w:rPr>
          <w:b/>
        </w:rPr>
      </w:pPr>
      <w:r>
        <w:rPr>
          <w:b/>
        </w:rPr>
        <w:t>Rate Design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7"/>
        </w:numPr>
        <w:tabs>
          <w:tab w:val="left" w:pos="720" w:leader="none"/>
        </w:tabs>
        <w:spacing w:lineRule="auto" w:line="360"/>
        <w:ind w:hanging="360" w:start="720" w:end="-360"/>
        <w:jc w:val="both"/>
        <w:rPr/>
      </w:pPr>
      <w:r>
        <w:rPr/>
        <w:t>Transwestern supports SFV rate design.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6"/>
        </w:numPr>
        <w:spacing w:lineRule="auto" w:line="360"/>
        <w:jc w:val="both"/>
        <w:rPr>
          <w:b/>
        </w:rPr>
      </w:pPr>
      <w:r>
        <w:rPr>
          <w:b/>
        </w:rPr>
        <w:t>Utility Risk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4"/>
        </w:numPr>
        <w:spacing w:lineRule="auto" w:line="360"/>
        <w:ind w:hanging="360" w:start="720" w:end="-360"/>
        <w:jc w:val="both"/>
        <w:rPr/>
      </w:pPr>
      <w:r>
        <w:rPr/>
        <w:t>Transwestern supports CAC’s position.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9"/>
        </w:numPr>
        <w:spacing w:lineRule="auto" w:line="360"/>
        <w:jc w:val="both"/>
        <w:rPr>
          <w:b/>
        </w:rPr>
      </w:pPr>
      <w:r>
        <w:rPr>
          <w:b/>
        </w:rPr>
        <w:t>Pools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9"/>
        </w:numPr>
        <w:tabs>
          <w:tab w:val="left" w:pos="720" w:leader="none"/>
          <w:tab w:val="left" w:pos="1440" w:leader="none"/>
        </w:tabs>
        <w:spacing w:lineRule="auto" w:line="360"/>
        <w:ind w:hanging="360" w:start="720" w:end="-360"/>
        <w:jc w:val="both"/>
        <w:rPr/>
      </w:pPr>
      <w:r>
        <w:rPr/>
        <w:t xml:space="preserve">Transwestern supports </w:t>
      </w:r>
      <w:r>
        <w:rPr>
          <w:u w:val="single"/>
        </w:rPr>
        <w:t>Receipt Point</w:t>
      </w:r>
      <w:r>
        <w:rPr/>
        <w:t xml:space="preserve"> and </w:t>
      </w:r>
      <w:r>
        <w:rPr>
          <w:u w:val="single"/>
        </w:rPr>
        <w:t>Citygate</w:t>
      </w:r>
      <w:r>
        <w:rPr/>
        <w:t xml:space="preserve"> pools on the SoCal system.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5"/>
        </w:numPr>
        <w:spacing w:lineRule="auto" w:line="360"/>
        <w:jc w:val="both"/>
        <w:rPr>
          <w:b/>
        </w:rPr>
      </w:pPr>
      <w:r>
        <w:rPr>
          <w:b/>
        </w:rPr>
        <w:t>Local Transmission/Distribution Bypass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4"/>
        </w:numPr>
        <w:spacing w:lineRule="auto" w:line="360"/>
        <w:ind w:hanging="360" w:start="720" w:end="-360"/>
        <w:jc w:val="both"/>
        <w:rPr/>
      </w:pPr>
      <w:r>
        <w:rPr/>
        <w:t>Transwestern supports option for local transmission/distribution bypass.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17"/>
        </w:numPr>
        <w:spacing w:lineRule="auto" w:line="360"/>
        <w:jc w:val="both"/>
        <w:rPr>
          <w:b/>
        </w:rPr>
      </w:pPr>
      <w:r>
        <w:rPr>
          <w:b/>
        </w:rPr>
        <w:t>SoCal Cost Recovery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42"/>
        </w:numPr>
        <w:spacing w:lineRule="auto" w:line="360"/>
        <w:ind w:hanging="360" w:start="720" w:end="-360"/>
        <w:jc w:val="both"/>
        <w:rPr/>
      </w:pPr>
      <w:r>
        <w:rPr/>
        <w:t>Transwestern defers to the consensus position of the non-SoCal settlement parties.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44"/>
        </w:numPr>
        <w:spacing w:lineRule="auto" w:line="360"/>
        <w:jc w:val="both"/>
        <w:rPr>
          <w:b/>
        </w:rPr>
      </w:pPr>
      <w:r>
        <w:rPr>
          <w:b/>
        </w:rPr>
        <w:t>Wheeler Ridge Expansion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2"/>
        </w:numPr>
        <w:spacing w:lineRule="auto" w:line="360"/>
        <w:ind w:hanging="360" w:start="720" w:end="-360"/>
        <w:jc w:val="both"/>
        <w:rPr/>
      </w:pPr>
      <w:r>
        <w:rPr/>
        <w:t>Transwestern opposes a predetermined expansion of Wheeler Ridge facilities on a rolled-in basis and agrees with the El Paso Natural Gas position that any future expansion of SoCal transmission facilities should be addressed on a case-by-case basis pursuant to established Commission procedure.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Heading6"/>
        <w:rPr/>
      </w:pPr>
      <w:r>
        <w:rPr/>
        <w:t>Implementation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6"/>
        </w:numPr>
        <w:spacing w:lineRule="auto" w:line="360"/>
        <w:ind w:hanging="360" w:start="720" w:end="-360"/>
        <w:jc w:val="both"/>
        <w:rPr/>
      </w:pPr>
      <w:r>
        <w:rPr/>
        <w:t xml:space="preserve">Transwestern supports the following changes to SoCal’s system and procedures </w:t>
      </w:r>
      <w:r>
        <w:rPr>
          <w:i/>
        </w:rPr>
        <w:t>as soon as practicable</w:t>
      </w:r>
      <w:r>
        <w:rPr/>
        <w:t>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32"/>
        </w:numPr>
        <w:spacing w:lineRule="auto" w:line="360"/>
        <w:jc w:val="both"/>
        <w:rPr/>
      </w:pPr>
      <w:r>
        <w:rPr/>
        <w:t>Replace windows.</w:t>
      </w:r>
    </w:p>
    <w:p>
      <w:pPr>
        <w:pStyle w:val="Normal"/>
        <w:numPr>
          <w:ilvl w:val="0"/>
          <w:numId w:val="32"/>
        </w:numPr>
        <w:spacing w:lineRule="auto" w:line="360"/>
        <w:jc w:val="both"/>
        <w:rPr/>
      </w:pPr>
      <w:r>
        <w:rPr/>
        <w:t>Institution of OFO protocol.</w:t>
      </w:r>
    </w:p>
    <w:p>
      <w:pPr>
        <w:pStyle w:val="Normal"/>
        <w:numPr>
          <w:ilvl w:val="0"/>
          <w:numId w:val="32"/>
        </w:numPr>
        <w:spacing w:lineRule="auto" w:line="360"/>
        <w:jc w:val="both"/>
        <w:rPr/>
      </w:pPr>
      <w:r>
        <w:rPr/>
        <w:t>Establish Hector Road as primary receipt point at 50 MMcfd, as well as South Needles/Transwestern as a secondary receipt point at 200 MMcf/d.</w:t>
      </w:r>
    </w:p>
    <w:p>
      <w:pPr>
        <w:pStyle w:val="Normal"/>
        <w:numPr>
          <w:ilvl w:val="0"/>
          <w:numId w:val="32"/>
        </w:numPr>
        <w:spacing w:lineRule="auto" w:line="360"/>
        <w:jc w:val="both"/>
        <w:rPr/>
      </w:pPr>
      <w:r>
        <w:rPr/>
        <w:t>Pooling.</w:t>
      </w:r>
    </w:p>
    <w:p>
      <w:pPr>
        <w:pStyle w:val="Normal"/>
        <w:numPr>
          <w:ilvl w:val="0"/>
          <w:numId w:val="32"/>
        </w:numPr>
        <w:spacing w:lineRule="auto" w:line="360"/>
        <w:jc w:val="both"/>
        <w:rPr/>
      </w:pPr>
      <w:r>
        <w:rPr/>
        <w:t>Imbalance trading enhancements.</w:t>
      </w:r>
    </w:p>
    <w:p>
      <w:pPr>
        <w:pStyle w:val="Normal"/>
        <w:numPr>
          <w:ilvl w:val="0"/>
          <w:numId w:val="32"/>
        </w:numPr>
        <w:spacing w:lineRule="auto" w:line="360"/>
        <w:jc w:val="both"/>
        <w:rPr/>
      </w:pPr>
      <w:r>
        <w:rPr/>
        <w:t>Secondary markets.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spacing w:lineRule="auto" w:line="360"/>
        <w:ind w:hanging="360" w:start="720" w:end="-360"/>
        <w:jc w:val="both"/>
        <w:rPr/>
      </w:pPr>
      <w:r>
        <w:rPr/>
        <w:t>The storage and transmission system unbundled by early-2001 with full implementation of enhanced systems.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965" w:top="1685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w:rPr/>
      <w:fldChar w:fldCharType="begin"/>
    </w:r>
    <w:r>
      <w:rPr/>
      <w:instrText xml:space="preserve"> PAGE \* ARABIC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rPr>
        <w:rFonts w:eastAsia="Arial"/>
      </w:rPr>
    </w:pPr>
    <w:r>
      <mc:AlternateContent>
        <mc:Choice Requires="wps">
          <w:drawing>
            <wp:anchor behindDoc="1" distT="0" distB="0" distL="114935" distR="114300" simplePos="0" locked="0" layoutInCell="0" allowOverlap="1" relativeHeight="2">
              <wp:simplePos x="0" y="0"/>
              <wp:positionH relativeFrom="page">
                <wp:posOffset>365760</wp:posOffset>
              </wp:positionH>
              <wp:positionV relativeFrom="paragraph">
                <wp:posOffset>422910</wp:posOffset>
              </wp:positionV>
              <wp:extent cx="3593465" cy="609600"/>
              <wp:effectExtent l="635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3520" cy="609480"/>
                      </a:xfrm>
                      <a:prstGeom prst="rect">
                        <a:avLst/>
                      </a:prstGeom>
                      <a:solidFill>
                        <a:srgbClr val="dfdfd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#dfdfdf" stroked="f" o:allowincell="f" style="position:absolute;margin-left:28.8pt;margin-top:33.3pt;width:282.9pt;height:47.95pt;mso-wrap-style:none;v-text-anchor:middle;mso-position-horizontal-relative:page">
              <v:fill o:detectmouseclick="t" type="solid" color2="#202020"/>
              <v:stroke color="#3465a4" joinstyle="round" endcap="flat"/>
              <w10:wrap type="none"/>
            </v:rect>
          </w:pict>
        </mc:Fallback>
      </mc:AlternateContent>
    </w:r>
    <w:r>
      <w:rPr>
        <w:rFonts w:eastAsia="Arial"/>
      </w:rPr>
      <w:t xml:space="preserve"> </w:t>
    </w:r>
  </w:p>
  <w:p>
    <w:pPr>
      <w:pStyle w:val="Footer"/>
      <w:rPr/>
    </w:pPr>
    <w:r>
      <w:rPr>
        <w:i/>
      </w:rPr>
      <w:t>Confidential- For settlement purposes only under Rule 51</w:t>
    </w:r>
    <w:r>
      <w:rPr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."/>
      <w:lvlJc w:val="start"/>
      <w:pPr>
        <w:tabs>
          <w:tab w:val="num" w:pos="1080"/>
        </w:tabs>
        <w:ind w:start="1080" w:hanging="360"/>
      </w:pPr>
      <w:rPr>
        <w:i w:val="false"/>
        <w:u w:val="none"/>
        <w:b w:val="false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decimal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3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8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0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1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9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0">
    <w:lvl w:ilvl="0">
      <w:start w:val="1"/>
      <w:numFmt w:val="lowerLetter"/>
      <w:lvlText w:val="(%1)"/>
      <w:lvlJc w:val="start"/>
      <w:pPr>
        <w:tabs>
          <w:tab w:val="num" w:pos="1440"/>
        </w:tabs>
        <w:ind w:start="1440" w:hanging="720"/>
      </w:pPr>
      <w:rPr/>
    </w:lvl>
  </w:abstractNum>
  <w:abstractNum w:abstractNumId="5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ind w:hanging="0" w:start="840" w:end="-360"/>
      <w:outlineLvl w:val="0"/>
    </w:pPr>
    <w:rPr>
      <w:rFonts w:ascii="Arial" w:hAnsi="Arial" w:cs="Arial"/>
      <w:b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ind w:hanging="0" w:start="840" w:end="-360"/>
      <w:outlineLvl w:val="1"/>
    </w:pPr>
    <w:rPr>
      <w:rFonts w:ascii="Arial" w:hAnsi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ind w:hanging="0" w:start="840" w:end="-360"/>
      <w:outlineLvl w:val="2"/>
    </w:pPr>
    <w:rPr>
      <w:i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ind w:hanging="0" w:start="840" w:end="-36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spacing w:val="-2"/>
      <w:kern w:val="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/>
      <w:ind w:hanging="0" w:start="0" w:end="-360"/>
      <w:jc w:val="center"/>
      <w:outlineLvl w:val="5"/>
    </w:pPr>
    <w:rPr>
      <w:b/>
      <w:i/>
      <w:sz w:val="28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b w:val="false"/>
      <w:i w:val="false"/>
      <w:u w:val="none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Symbol" w:hAnsi="Symbol" w:cs="Symbol"/>
    </w:rPr>
  </w:style>
  <w:style w:type="character" w:styleId="WW8Num62z0">
    <w:name w:val="WW8Num62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6z0">
    <w:name w:val="WW8Num66z0"/>
    <w:qFormat/>
    <w:rPr/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character" w:styleId="PageNumber">
    <w:name w:val="pag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  <w:ind w:hanging="0" w:start="840" w:end="-36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</w:rPr>
  </w:style>
  <w:style w:type="paragraph" w:styleId="Header">
    <w:name w:val="header"/>
    <w:basedOn w:val="HeaderBase"/>
    <w:pPr>
      <w:ind w:hanging="0" w:start="-1080" w:end="-1080"/>
    </w:pPr>
    <w:rPr>
      <w:i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  <w:sz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" w:hAnsi="Impact" w:cs="Impact"/>
      <w:caps/>
      <w:color w:val="FFFFFF"/>
      <w:spacing w:val="20"/>
      <w:sz w:val="48"/>
      <w:vertAlign w:val="superscript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-1080"/>
        <w:tab w:val="clear" w:pos="948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2000-02-28T19:00:00Z</dcterms:created>
  <dc:creator>jeffery c. fawcett</dc:creator>
  <dc:description/>
  <dc:language>en-CA</dc:language>
  <cp:lastModifiedBy>jeffery c. fawcett</cp:lastModifiedBy>
  <cp:lastPrinted>2000-02-28T15:35:00Z</cp:lastPrinted>
  <dcterms:modified xsi:type="dcterms:W3CDTF">2000-02-28T19:05:00Z</dcterms:modified>
  <cp:revision>5</cp:revision>
  <dc:subject/>
  <dc:title>Memo</dc:title>
</cp:coreProperties>
</file>