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International and Domestic Greenhouse Gas Emissions Trading Initiatives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Kyoto Protocol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2008 – 2012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(first budget period)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allocation decisions left to national government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rules under develop-ment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decisions could be made in Oct./Nov. 2001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(COP-7)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cap and trade                  -- developed countries and economies and transition under cap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aggregate emissions reductions is 5% below 1990 levels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EU favors limits on the use of emissions trading, but compromised on a non-quantified limit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-- penalties for non-compliance is a key issue (leaning against financial penalties)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Style w:val="Hyperlink"/>
                <w:sz w:val="20"/>
              </w:rPr>
              <w:t>http://www.unfccc.int/resource/docs/convkp/kpeng.pdf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sz w:val="20"/>
              </w:rPr>
              <w:t>European Union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2005 – 2007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2008 – 2012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(second phase)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 – leaning toward 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selected sectors -including some electricity generators; oil refiners; pulp and paper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covers 40% of EU CO2 emissions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CO2 only; GHG will be covered later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proposals released;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draft rules by fall 2001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industry in some countries (Germany) oppose mandatory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-- penalties for non-compliance expected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-- member states will likely determine allocations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http://www.europa.eu.int/comm/environment/docum/0087_en.htm</w:t>
              </w:r>
            </w:hyperlink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Kingdom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April 2002; true-up on annual basis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 (business and other entities)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final rules released 8/14/01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Two Types: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voluntary target with financial incentive (absolute; five year period 2002-2006; based on historic emissions, 1998-2000)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-- voluntary relative target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allows project-based reductions to be traded – rules are under development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http://www.defra.gov.uk/environment/climatechange/trading/index.htm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Norway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2008 with allocation earlier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economy-wide, with exceptions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  w/exceptions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rules released 1/2001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producers of mobile and stationary sources under cap (with exceptions)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banking permitted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allocation process uncertain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--financial penalty for non-compliance to be developed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Denmark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2001-2003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power generators in Denmark, except  renewable energy companies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generators with annual historic emissions of 100,000 metric tons of CO2 (except CHP)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goal to reduce 3 million metric tons of emissions by 2003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company-wide allocation (not by unit)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-- 8 companies covered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volume of trading low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-- penalty $5/ton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transfers are bilateral agreements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-- banking allowed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allocation based on historic emissions 1994-1998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http://www.ens.dk/uk/energy_reform/emissions_trading/index.htm</w:t>
              </w:r>
            </w:hyperlink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Sweden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2005; allocations in 2002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selected 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CO2; GHG as later date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national plan pending approval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rPr>
                <w:sz w:val="20"/>
              </w:rPr>
            </w:pPr>
            <w:r>
              <w:rPr>
                <w:sz w:val="20"/>
              </w:rPr>
              <w:t>-- penalties for non-compliance permitted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allocation by auction 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Netherlands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date set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discussion paper released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government and industry favor project-based mechanisms (JI)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Canada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date set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mandatory (links with voluntary targets possible)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working group established and discussion paper released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working group looking into regional trading as well as trading under NAFTA – both with link to Kyoto Protocol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http://www.nccp.ca/NCCP/national_process/issues/tradable_e.html</w:t>
            </w:r>
          </w:p>
        </w:tc>
      </w:tr>
    </w:tbl>
    <w:p>
      <w:pPr>
        <w:pStyle w:val="Normal"/>
        <w:rPr>
          <w:rStyle w:val="Hyperlink"/>
          <w:sz w:val="20"/>
        </w:rPr>
      </w:pPr>
      <w:r>
        <w:br w:type="page"/>
      </w:r>
      <w:r>
        <w:rPr/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Australia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date set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discussion papers released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government stated that it will not adopt a mandatory trading scheme unless the Kyoto Protocol is ratified and an international trading system is in place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http://www.greenhouse.gov.au/emissionstrading/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Japan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date set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discussion papers released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voluntary agreements with industry is main approach to meet targets 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4"/>
      <w:footerReference w:type="default" r:id="rId5"/>
      <w:type w:val="nextPage"/>
      <w:pgSz w:w="12240" w:h="15840"/>
      <w:pgMar w:left="432" w:right="432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iCs/>
      </w:rPr>
      <w:t xml:space="preserve">Please contact Lisa Jacobson of Environmental Strategies Group with questions at </w:t>
    </w:r>
    <w:hyperlink r:id="rId1">
      <w:r>
        <w:rPr>
          <w:rStyle w:val="Hyperlink"/>
          <w:i/>
          <w:iCs/>
        </w:rPr>
        <w:t>lisa.Jacobson@enron.com</w:t>
      </w:r>
    </w:hyperlink>
    <w:r>
      <w:rPr>
        <w:i/>
        <w:iCs/>
      </w:rPr>
      <w:t xml:space="preserve"> or (202) 466-9176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Greenhouse Gas Emissions Trading Programs</w:t>
    </w:r>
  </w:p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  <w:t>Updated – October 2001</w:t>
    </w:r>
  </w:p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uropa.eu.int/comm/environment/docum/0087_en.htm" TargetMode="External"/><Relationship Id="rId3" Type="http://schemas.openxmlformats.org/officeDocument/2006/relationships/hyperlink" Target="http://www.ens.dk/uk/energy_reform/emissions_trading/index.ht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sa.Jacobson@enron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2001-09-07T16:07:00Z</dcterms:created>
  <dc:creator>ljacobso</dc:creator>
  <dc:description/>
  <dc:language>en-CA</dc:language>
  <cp:lastModifiedBy>ljacobso</cp:lastModifiedBy>
  <cp:lastPrinted>2001-09-07T16:07:00Z</cp:lastPrinted>
  <dcterms:modified xsi:type="dcterms:W3CDTF">2001-10-12T15:56:00Z</dcterms:modified>
  <cp:revision>51</cp:revision>
  <dc:subject/>
  <dc:title>Program/country</dc:title>
</cp:coreProperties>
</file>