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28"/>
          <w:szCs w:val="28"/>
        </w:rPr>
      </w:pPr>
      <w:r>
        <w:rPr>
          <w:b/>
          <w:bCs/>
          <w:i/>
          <w:iCs/>
          <w:sz w:val="28"/>
          <w:szCs w:val="28"/>
        </w:rPr>
        <w:t xml:space="preserve">ENERGY REPORTING NETWORK             </w:t>
      </w:r>
    </w:p>
    <w:p>
      <w:pPr>
        <w:pStyle w:val="Normal"/>
        <w:jc w:val="center"/>
        <w:rPr>
          <w:b/>
          <w:bCs/>
          <w:i/>
          <w:i/>
          <w:iCs/>
          <w:sz w:val="24"/>
          <w:szCs w:val="24"/>
        </w:rPr>
      </w:pPr>
      <w:r>
        <w:rPr>
          <w:b/>
          <w:bCs/>
          <w:i/>
          <w:iCs/>
          <w:sz w:val="24"/>
          <w:szCs w:val="24"/>
        </w:rPr>
        <w:t>KBR TOWER  SUITE 3690</w:t>
      </w:r>
    </w:p>
    <w:p>
      <w:pPr>
        <w:pStyle w:val="Normal"/>
        <w:jc w:val="center"/>
        <w:rPr>
          <w:b/>
          <w:bCs/>
          <w:i/>
          <w:i/>
          <w:iCs/>
          <w:sz w:val="24"/>
          <w:szCs w:val="24"/>
        </w:rPr>
      </w:pPr>
      <w:r>
        <w:rPr>
          <w:b/>
          <w:bCs/>
          <w:i/>
          <w:iCs/>
          <w:sz w:val="24"/>
          <w:szCs w:val="24"/>
        </w:rPr>
        <w:t>601 JEFFERSON ST</w:t>
      </w:r>
    </w:p>
    <w:p>
      <w:pPr>
        <w:pStyle w:val="Normal"/>
        <w:jc w:val="center"/>
        <w:rPr>
          <w:b/>
          <w:bCs/>
          <w:i/>
          <w:i/>
          <w:iCs/>
          <w:sz w:val="24"/>
          <w:szCs w:val="24"/>
        </w:rPr>
      </w:pPr>
      <w:r>
        <w:rPr>
          <w:b/>
          <w:bCs/>
          <w:i/>
          <w:iCs/>
          <w:sz w:val="24"/>
          <w:szCs w:val="24"/>
        </w:rPr>
        <w:t>HOUSTON, TX 77002</w:t>
      </w:r>
    </w:p>
    <w:p>
      <w:pPr>
        <w:pStyle w:val="Normal"/>
        <w:rPr>
          <w:b/>
          <w:bCs/>
        </w:rPr>
      </w:pPr>
      <w:r>
        <w:rPr>
          <w:b/>
          <w:bCs/>
        </w:rPr>
        <w:t>TEL:</w:t>
        <w:tab/>
        <w:t>713 . 651. 8006</w:t>
        <w:tab/>
        <w:tab/>
        <w:tab/>
        <w:tab/>
        <w:t>FAX: 281 - 754 4934</w:t>
        <w:tab/>
        <w:tab/>
        <w:tab/>
        <w:tab/>
        <w:t xml:space="preserve">  EMail:gasfax@usa.net</w:t>
      </w:r>
    </w:p>
    <w:p>
      <w:pPr>
        <w:pStyle w:val="Normal"/>
        <w:rPr/>
      </w:pPr>
      <w:r>
        <w:rPr>
          <w:b/>
          <w:bCs/>
        </w:rPr>
        <w:t>GASFAX</w:t>
      </w:r>
      <w:r>
        <w:rPr>
          <w:b/>
          <w:bCs/>
          <w:sz w:val="18"/>
          <w:szCs w:val="18"/>
        </w:rPr>
        <w:t>®</w:t>
      </w:r>
      <w:r>
        <w:rPr>
          <w:b/>
          <w:bCs/>
        </w:rPr>
        <w:tab/>
        <w:tab/>
        <w:tab/>
        <w:tab/>
        <w:t xml:space="preserve">                   WELLFAX</w:t>
      </w:r>
      <w:r>
        <w:rPr>
          <w:b/>
          <w:bCs/>
          <w:sz w:val="16"/>
          <w:szCs w:val="16"/>
        </w:rPr>
        <w:t>sm</w:t>
      </w:r>
      <w:r>
        <w:rPr>
          <w:b/>
          <w:bCs/>
        </w:rPr>
        <w:tab/>
        <w:tab/>
        <w:tab/>
        <w:tab/>
        <w:tab/>
        <w:t>POWERFAX</w:t>
      </w:r>
      <w:r>
        <w:rPr>
          <w:b/>
          <w:bCs/>
          <w:sz w:val="16"/>
          <w:szCs w:val="16"/>
        </w:rPr>
        <w:t>sm</w:t>
      </w:r>
    </w:p>
    <w:p>
      <w:pPr>
        <w:pStyle w:val="Normal"/>
        <w:jc w:val="center"/>
        <w:rPr>
          <w:b/>
          <w:bCs/>
          <w:sz w:val="16"/>
          <w:szCs w:val="16"/>
        </w:rPr>
      </w:pPr>
      <w:r>
        <w:rPr>
          <w:b/>
          <w:bCs/>
          <w:sz w:val="16"/>
          <w:szCs w:val="16"/>
        </w:rPr>
      </w:r>
    </w:p>
    <w:p>
      <w:pPr>
        <w:pStyle w:val="Heading8"/>
        <w:ind w:hanging="0" w:start="0"/>
        <w:rPr/>
      </w:pPr>
      <w:r>
        <w:rPr/>
        <w:t>REPORT NUMBER 504</w:t>
      </w:r>
    </w:p>
    <w:p>
      <w:pPr>
        <w:pStyle w:val="Normal"/>
        <w:jc w:val="center"/>
        <w:rPr>
          <w:b/>
          <w:bCs/>
          <w:sz w:val="24"/>
          <w:szCs w:val="24"/>
        </w:rPr>
      </w:pPr>
      <w:r>
        <w:rPr>
          <w:b/>
          <w:bCs/>
          <w:sz w:val="24"/>
          <w:szCs w:val="24"/>
        </w:rPr>
        <w:t>DATE: July 9, 2001</w:t>
      </w:r>
    </w:p>
    <w:p>
      <w:pPr>
        <w:pStyle w:val="Normal"/>
        <w:ind w:firstLine="720" w:end="0"/>
        <w:rPr>
          <w:b/>
          <w:bCs/>
          <w:sz w:val="24"/>
          <w:szCs w:val="24"/>
        </w:rPr>
      </w:pPr>
      <w:r>
        <w:rPr>
          <w:b/>
          <w:bCs/>
          <w:sz w:val="24"/>
          <w:szCs w:val="24"/>
        </w:rPr>
        <w:t>This is Report Number 504 for inventories of Thursday, July 7, 2001.</w:t>
      </w:r>
    </w:p>
    <w:p>
      <w:pPr>
        <w:pStyle w:val="Normal"/>
        <w:jc w:val="center"/>
        <w:rPr/>
      </w:pPr>
      <w:r>
        <w:rPr/>
        <w:t>Table A</w:t>
      </w:r>
      <w:r>
        <w:br w:type="page"/>
      </w:r>
    </w:p>
    <w:tbl>
      <w:tblPr>
        <w:tblW w:w="10620" w:type="dxa"/>
        <w:jc w:val="start"/>
        <w:tblInd w:w="198" w:type="dxa"/>
        <w:tblLayout w:type="fixed"/>
        <w:tblCellMar>
          <w:top w:w="0" w:type="dxa"/>
          <w:start w:w="108" w:type="dxa"/>
          <w:bottom w:w="0" w:type="dxa"/>
          <w:end w:w="108" w:type="dxa"/>
        </w:tblCellMar>
      </w:tblPr>
      <w:tblGrid>
        <w:gridCol w:w="2556"/>
        <w:gridCol w:w="1377"/>
        <w:gridCol w:w="1377"/>
        <w:gridCol w:w="1377"/>
        <w:gridCol w:w="1377"/>
        <w:gridCol w:w="1377"/>
        <w:gridCol w:w="1179"/>
      </w:tblGrid>
      <w:tr>
        <w:trPr/>
        <w:tc>
          <w:tcPr>
            <w:tcW w:w="10620" w:type="dxa"/>
            <w:gridSpan w:val="7"/>
            <w:tcBorders>
              <w:top w:val="single" w:sz="12" w:space="0" w:color="000000"/>
              <w:start w:val="single" w:sz="12" w:space="0" w:color="000000"/>
              <w:bottom w:val="single" w:sz="6" w:space="0" w:color="000000"/>
              <w:end w:val="single" w:sz="12" w:space="0" w:color="000000"/>
            </w:tcBorders>
          </w:tcPr>
          <w:p>
            <w:pPr>
              <w:pStyle w:val="Normal"/>
              <w:pageBreakBefore/>
              <w:jc w:val="center"/>
              <w:rPr>
                <w:b/>
                <w:bCs/>
                <w:sz w:val="24"/>
                <w:szCs w:val="24"/>
              </w:rPr>
            </w:pPr>
            <w:r>
              <w:rPr>
                <w:b/>
                <w:bCs/>
                <w:sz w:val="24"/>
                <w:szCs w:val="24"/>
              </w:rPr>
              <w:t xml:space="preserve">Imputed U.S. Natural Gas Demand </w:t>
            </w:r>
          </w:p>
        </w:tc>
      </w:tr>
      <w:tr>
        <w:trPr/>
        <w:tc>
          <w:tcPr>
            <w:tcW w:w="2556" w:type="dxa"/>
            <w:tcBorders>
              <w:top w:val="single" w:sz="6" w:space="0" w:color="000000"/>
              <w:start w:val="single" w:sz="12" w:space="0" w:color="000000"/>
              <w:bottom w:val="single" w:sz="6" w:space="0" w:color="000000"/>
              <w:end w:val="single" w:sz="6" w:space="0" w:color="000000"/>
            </w:tcBorders>
          </w:tcPr>
          <w:p>
            <w:pPr>
              <w:pStyle w:val="Normal"/>
              <w:snapToGrid w:val="false"/>
              <w:rPr>
                <w:b/>
                <w:bCs/>
                <w:sz w:val="24"/>
                <w:szCs w:val="24"/>
              </w:rPr>
            </w:pPr>
            <w:r>
              <w:rPr>
                <w:b/>
                <w:bCs/>
                <w:sz w:val="24"/>
                <w:szCs w:val="24"/>
              </w:rPr>
            </w:r>
          </w:p>
        </w:tc>
        <w:tc>
          <w:tcPr>
            <w:tcW w:w="2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Current Week BCF</w:t>
            </w:r>
          </w:p>
        </w:tc>
        <w:tc>
          <w:tcPr>
            <w:tcW w:w="2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Prior Week BCF</w:t>
            </w:r>
          </w:p>
        </w:tc>
        <w:tc>
          <w:tcPr>
            <w:tcW w:w="2556" w:type="dxa"/>
            <w:gridSpan w:val="2"/>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Season Avg, BCF</w:t>
            </w:r>
          </w:p>
        </w:tc>
      </w:tr>
      <w:tr>
        <w:trPr/>
        <w:tc>
          <w:tcPr>
            <w:tcW w:w="2556" w:type="dxa"/>
            <w:tcBorders>
              <w:top w:val="dashed" w:sz="6" w:space="0" w:color="auto"/>
              <w:start w:val="single" w:sz="12" w:space="0" w:color="000000"/>
              <w:bottom w:val="dashed" w:sz="6" w:space="0" w:color="auto"/>
              <w:end w:val="single" w:sz="6" w:space="0" w:color="000000"/>
            </w:tcBorders>
          </w:tcPr>
          <w:p>
            <w:pPr>
              <w:pStyle w:val="Normal"/>
              <w:snapToGrid w:val="false"/>
              <w:rPr>
                <w:b/>
                <w:bCs/>
                <w:sz w:val="24"/>
                <w:szCs w:val="24"/>
              </w:rPr>
            </w:pPr>
            <w:r>
              <w:rPr>
                <w:b/>
                <w:bCs/>
                <w:sz w:val="24"/>
                <w:szCs w:val="24"/>
              </w:rPr>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BCFW</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BCFD</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BCFW</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BCFD</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BCFW</w:t>
            </w:r>
          </w:p>
        </w:tc>
        <w:tc>
          <w:tcPr>
            <w:tcW w:w="1179" w:type="dxa"/>
            <w:tcBorders>
              <w:top w:val="dashed" w:sz="6" w:space="0" w:color="auto"/>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BCFD</w:t>
            </w:r>
          </w:p>
        </w:tc>
      </w:tr>
      <w:tr>
        <w:trPr/>
        <w:tc>
          <w:tcPr>
            <w:tcW w:w="2556" w:type="dxa"/>
            <w:tcBorders>
              <w:top w:val="single" w:sz="6" w:space="0" w:color="000000"/>
              <w:start w:val="single" w:sz="12" w:space="0" w:color="000000"/>
              <w:bottom w:val="dashed" w:sz="6" w:space="0" w:color="auto"/>
              <w:end w:val="single" w:sz="6" w:space="0" w:color="000000"/>
            </w:tcBorders>
          </w:tcPr>
          <w:p>
            <w:pPr>
              <w:pStyle w:val="Normal"/>
              <w:rPr>
                <w:b/>
                <w:bCs/>
                <w:sz w:val="24"/>
                <w:szCs w:val="24"/>
              </w:rPr>
            </w:pPr>
            <w:r>
              <w:rPr>
                <w:b/>
                <w:bCs/>
                <w:sz w:val="24"/>
                <w:szCs w:val="24"/>
              </w:rPr>
              <w:t>Net Imports PL Gas</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73.9</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10.5</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72.6</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10.4</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71.6</w:t>
            </w:r>
          </w:p>
        </w:tc>
        <w:tc>
          <w:tcPr>
            <w:tcW w:w="1179"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10.2</w:t>
            </w:r>
          </w:p>
        </w:tc>
      </w:tr>
      <w:tr>
        <w:trPr/>
        <w:tc>
          <w:tcPr>
            <w:tcW w:w="2556" w:type="dxa"/>
            <w:tcBorders>
              <w:top w:val="single" w:sz="6" w:space="0" w:color="000000"/>
              <w:start w:val="single" w:sz="12" w:space="0" w:color="000000"/>
              <w:bottom w:val="dashed" w:sz="6" w:space="0" w:color="auto"/>
              <w:end w:val="single" w:sz="6" w:space="0" w:color="000000"/>
            </w:tcBorders>
          </w:tcPr>
          <w:p>
            <w:pPr>
              <w:pStyle w:val="Normal"/>
              <w:rPr>
                <w:b/>
                <w:bCs/>
                <w:sz w:val="24"/>
                <w:szCs w:val="24"/>
              </w:rPr>
            </w:pPr>
            <w:r>
              <w:rPr>
                <w:b/>
                <w:bCs/>
                <w:sz w:val="24"/>
                <w:szCs w:val="24"/>
              </w:rPr>
              <w:t>LNG Imports</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5.2</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137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NA</w:t>
            </w:r>
          </w:p>
        </w:tc>
        <w:tc>
          <w:tcPr>
            <w:tcW w:w="1179"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NA</w:t>
            </w:r>
          </w:p>
        </w:tc>
      </w:tr>
      <w:tr>
        <w:trPr/>
        <w:tc>
          <w:tcPr>
            <w:tcW w:w="2556" w:type="dxa"/>
            <w:tcBorders>
              <w:top w:val="single" w:sz="6" w:space="0" w:color="000000"/>
              <w:start w:val="single" w:sz="12" w:space="0" w:color="000000"/>
              <w:bottom w:val="single" w:sz="6" w:space="0" w:color="000000"/>
              <w:end w:val="single" w:sz="6" w:space="0" w:color="000000"/>
            </w:tcBorders>
          </w:tcPr>
          <w:p>
            <w:pPr>
              <w:pStyle w:val="Normal"/>
              <w:rPr>
                <w:b/>
                <w:bCs/>
                <w:sz w:val="24"/>
                <w:szCs w:val="24"/>
              </w:rPr>
            </w:pPr>
            <w:r>
              <w:rPr>
                <w:b/>
                <w:bCs/>
                <w:sz w:val="24"/>
                <w:szCs w:val="24"/>
              </w:rPr>
              <w:t>Net GG Storage Chge</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84.1</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12.0</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85.7</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12.2</w:t>
            </w:r>
          </w:p>
        </w:tc>
        <w:tc>
          <w:tcPr>
            <w:tcW w:w="137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72.4</w:t>
            </w:r>
          </w:p>
        </w:tc>
        <w:tc>
          <w:tcPr>
            <w:tcW w:w="1179"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10.3</w:t>
            </w:r>
          </w:p>
        </w:tc>
      </w:tr>
      <w:tr>
        <w:trPr/>
        <w:tc>
          <w:tcPr>
            <w:tcW w:w="2556" w:type="dxa"/>
            <w:tcBorders>
              <w:top w:val="dashed" w:sz="6" w:space="0" w:color="auto"/>
              <w:start w:val="single" w:sz="12" w:space="0" w:color="000000"/>
              <w:bottom w:val="dashed" w:sz="6" w:space="0" w:color="auto"/>
              <w:end w:val="single" w:sz="6" w:space="0" w:color="000000"/>
            </w:tcBorders>
          </w:tcPr>
          <w:p>
            <w:pPr>
              <w:pStyle w:val="Normal"/>
              <w:rPr>
                <w:b/>
                <w:bCs/>
                <w:sz w:val="24"/>
                <w:szCs w:val="24"/>
              </w:rPr>
            </w:pPr>
            <w:r>
              <w:rPr>
                <w:b/>
                <w:bCs/>
                <w:sz w:val="24"/>
                <w:szCs w:val="24"/>
              </w:rPr>
              <w:t>Dry Marketed Gas</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357.0</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51.0</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357.0</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51.0</w:t>
            </w:r>
          </w:p>
        </w:tc>
        <w:tc>
          <w:tcPr>
            <w:tcW w:w="1377"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352.7</w:t>
            </w:r>
          </w:p>
        </w:tc>
        <w:tc>
          <w:tcPr>
            <w:tcW w:w="1179" w:type="dxa"/>
            <w:tcBorders>
              <w:top w:val="dashed" w:sz="6" w:space="0" w:color="auto"/>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50.4</w:t>
            </w:r>
          </w:p>
        </w:tc>
      </w:tr>
      <w:tr>
        <w:trPr/>
        <w:tc>
          <w:tcPr>
            <w:tcW w:w="2556" w:type="dxa"/>
            <w:tcBorders>
              <w:top w:val="single" w:sz="6" w:space="0" w:color="000000"/>
              <w:start w:val="single" w:sz="12" w:space="0" w:color="000000"/>
              <w:bottom w:val="single" w:sz="12" w:space="0" w:color="000000"/>
              <w:end w:val="single" w:sz="6" w:space="0" w:color="000000"/>
            </w:tcBorders>
          </w:tcPr>
          <w:p>
            <w:pPr>
              <w:pStyle w:val="Normal"/>
              <w:rPr>
                <w:b/>
                <w:bCs/>
                <w:sz w:val="24"/>
                <w:szCs w:val="24"/>
              </w:rPr>
            </w:pPr>
            <w:r>
              <w:rPr>
                <w:b/>
                <w:bCs/>
                <w:sz w:val="24"/>
                <w:szCs w:val="24"/>
              </w:rPr>
              <w:t>Apparent Demand</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346.8</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49.5</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349.1</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49.9</w:t>
            </w:r>
          </w:p>
        </w:tc>
        <w:tc>
          <w:tcPr>
            <w:tcW w:w="1377" w:type="dxa"/>
            <w:tcBorders>
              <w:top w:val="single" w:sz="6" w:space="0" w:color="000000"/>
              <w:start w:val="single" w:sz="6" w:space="0" w:color="000000"/>
              <w:bottom w:val="single" w:sz="12" w:space="0" w:color="000000"/>
              <w:end w:val="single" w:sz="6" w:space="0" w:color="000000"/>
            </w:tcBorders>
          </w:tcPr>
          <w:p>
            <w:pPr>
              <w:pStyle w:val="Normal"/>
              <w:jc w:val="center"/>
              <w:rPr>
                <w:b/>
                <w:bCs/>
                <w:i/>
                <w:i/>
                <w:iCs/>
                <w:sz w:val="24"/>
                <w:szCs w:val="24"/>
                <w:u w:val="single"/>
              </w:rPr>
            </w:pPr>
            <w:r>
              <w:rPr>
                <w:b/>
                <w:bCs/>
                <w:i/>
                <w:iCs/>
                <w:sz w:val="24"/>
                <w:szCs w:val="24"/>
                <w:u w:val="single"/>
              </w:rPr>
              <w:t>351.9</w:t>
            </w:r>
          </w:p>
        </w:tc>
        <w:tc>
          <w:tcPr>
            <w:tcW w:w="1179" w:type="dxa"/>
            <w:tcBorders>
              <w:top w:val="single" w:sz="6" w:space="0" w:color="000000"/>
              <w:start w:val="single" w:sz="6" w:space="0" w:color="000000"/>
              <w:bottom w:val="single" w:sz="12" w:space="0" w:color="000000"/>
              <w:end w:val="single" w:sz="12" w:space="0" w:color="000000"/>
            </w:tcBorders>
          </w:tcPr>
          <w:p>
            <w:pPr>
              <w:pStyle w:val="Normal"/>
              <w:jc w:val="center"/>
              <w:rPr>
                <w:b/>
                <w:bCs/>
                <w:i/>
                <w:i/>
                <w:iCs/>
                <w:sz w:val="24"/>
                <w:szCs w:val="24"/>
                <w:u w:val="single"/>
              </w:rPr>
            </w:pPr>
            <w:r>
              <w:rPr>
                <w:b/>
                <w:bCs/>
                <w:i/>
                <w:iCs/>
                <w:sz w:val="24"/>
                <w:szCs w:val="24"/>
                <w:u w:val="single"/>
              </w:rPr>
              <w:t>50.3</w:t>
            </w:r>
          </w:p>
        </w:tc>
      </w:tr>
    </w:tbl>
    <w:p>
      <w:pPr>
        <w:pStyle w:val="Heading1"/>
        <w:ind w:hanging="0" w:start="0"/>
        <w:rPr/>
      </w:pPr>
      <w:r>
        <w:rPr>
          <w:i w:val="false"/>
          <w:iCs w:val="false"/>
          <w:sz w:val="24"/>
          <w:szCs w:val="24"/>
        </w:rPr>
        <w:tab/>
        <w:t xml:space="preserve">Please note we have added LNG imports to the Contiguous U.S. natural gas supply to calculate Apparent Demand. Canadian natural gas re-imports are already accounted for in the data, so need no adjustment. Mexican imports (U.S. exports) were 3% of </w:t>
      </w:r>
      <w:r>
        <w:rPr>
          <w:sz w:val="24"/>
          <w:szCs w:val="24"/>
        </w:rPr>
        <w:t>Gross Pipeline gas imports</w:t>
      </w:r>
      <w:r>
        <w:rPr>
          <w:i w:val="false"/>
          <w:iCs w:val="false"/>
          <w:sz w:val="24"/>
          <w:szCs w:val="24"/>
        </w:rPr>
        <w:t xml:space="preserve"> and 2.9% of </w:t>
      </w:r>
      <w:r>
        <w:rPr>
          <w:sz w:val="24"/>
          <w:szCs w:val="24"/>
        </w:rPr>
        <w:t xml:space="preserve">all </w:t>
      </w:r>
      <w:r>
        <w:rPr>
          <w:i w:val="false"/>
          <w:iCs w:val="false"/>
          <w:sz w:val="24"/>
          <w:szCs w:val="24"/>
        </w:rPr>
        <w:t xml:space="preserve">imports, including LNG in 2000. Mexican imports (U.S. exports) are within the estimated accuracy of U.S. gas </w:t>
      </w:r>
      <w:r>
        <w:rPr>
          <w:sz w:val="24"/>
          <w:szCs w:val="24"/>
        </w:rPr>
        <w:t>production</w:t>
      </w:r>
      <w:r>
        <w:rPr>
          <w:i w:val="false"/>
          <w:iCs w:val="false"/>
          <w:sz w:val="24"/>
          <w:szCs w:val="24"/>
        </w:rPr>
        <w:t xml:space="preserve"> estimates, so will be ignored in the calculations of Apparent Demand.</w:t>
      </w:r>
    </w:p>
    <w:p>
      <w:pPr>
        <w:pStyle w:val="Heading1"/>
        <w:ind w:hanging="0" w:start="0"/>
        <w:rPr/>
      </w:pPr>
      <w:r>
        <w:rPr>
          <w:i w:val="false"/>
          <w:iCs w:val="false"/>
          <w:sz w:val="24"/>
          <w:szCs w:val="24"/>
        </w:rPr>
        <w:tab/>
        <w:t xml:space="preserve">The season average has </w:t>
      </w:r>
      <w:r>
        <w:rPr>
          <w:sz w:val="24"/>
          <w:szCs w:val="24"/>
        </w:rPr>
        <w:t>not</w:t>
      </w:r>
      <w:r>
        <w:rPr>
          <w:i w:val="false"/>
          <w:iCs w:val="false"/>
          <w:sz w:val="24"/>
          <w:szCs w:val="24"/>
        </w:rPr>
        <w:t xml:space="preserve"> been recalculated to reflect the addition of LNG supplies, but will be.  Apparent Demand, in the new calculations, is down 0.7% (2.3 BCFW) from last week; net imports were up 1.8%, while GG storage injections were off 1.9% for the week.</w:t>
      </w:r>
    </w:p>
    <w:p>
      <w:pPr>
        <w:pStyle w:val="Normal"/>
        <w:rPr>
          <w:i/>
          <w:i/>
          <w:iCs/>
          <w:sz w:val="24"/>
          <w:szCs w:val="24"/>
        </w:rPr>
      </w:pPr>
      <w:r>
        <w:rPr>
          <w:i/>
          <w:iCs/>
          <w:sz w:val="24"/>
          <w:szCs w:val="24"/>
        </w:rPr>
      </w:r>
    </w:p>
    <w:p>
      <w:pPr>
        <w:pStyle w:val="Heading1"/>
        <w:ind w:hanging="0" w:start="0"/>
        <w:rPr/>
      </w:pPr>
      <w:r>
        <w:rPr/>
        <w:t>Executive Summary</w:t>
      </w:r>
    </w:p>
    <w:p>
      <w:pPr>
        <w:pStyle w:val="BodyText"/>
        <w:numPr>
          <w:ilvl w:val="0"/>
          <w:numId w:val="2"/>
        </w:numPr>
        <w:tabs>
          <w:tab w:val="clear" w:pos="720"/>
          <w:tab w:val="left" w:pos="0" w:leader="none"/>
        </w:tabs>
        <w:ind w:hanging="720" w:start="1440" w:end="0"/>
        <w:rPr/>
      </w:pPr>
      <w:r>
        <w:rPr/>
        <w:t>LNG imports have been added to the U.S. total to make the Apparent demand calculation.</w:t>
      </w:r>
    </w:p>
    <w:p>
      <w:pPr>
        <w:pStyle w:val="Normal"/>
        <w:ind w:hanging="720" w:start="720" w:end="0"/>
        <w:rPr/>
      </w:pPr>
      <w:r>
        <w:rPr>
          <w:b/>
          <w:bCs/>
          <w:sz w:val="24"/>
          <w:szCs w:val="24"/>
        </w:rPr>
        <w:t>2.</w:t>
        <w:tab/>
        <w:t>GG injections remained fairly high; a comparison has been put in the graphics section so you can</w:t>
      </w:r>
      <w:r>
        <w:rPr/>
        <w:t xml:space="preserve">. </w:t>
      </w:r>
      <w:r>
        <w:rPr>
          <w:b/>
          <w:bCs/>
          <w:sz w:val="24"/>
          <w:szCs w:val="24"/>
        </w:rPr>
        <w:t>see how EIA and AGA June injections look over the past 11 years.</w:t>
      </w:r>
    </w:p>
    <w:p>
      <w:pPr>
        <w:pStyle w:val="BodyText"/>
        <w:jc w:val="center"/>
        <w:rPr>
          <w:b w:val="false"/>
          <w:bCs w:val="false"/>
          <w:sz w:val="28"/>
          <w:szCs w:val="28"/>
        </w:rPr>
      </w:pPr>
      <w:r>
        <w:rPr>
          <w:b w:val="false"/>
          <w:bCs w:val="false"/>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i/>
          <w:i/>
          <w:iCs/>
          <w:sz w:val="28"/>
          <w:szCs w:val="28"/>
          <w:u w:val="single"/>
        </w:rPr>
      </w:pPr>
      <w:r>
        <w:rPr>
          <w:sz w:val="28"/>
          <w:szCs w:val="28"/>
        </w:rPr>
        <w:t>Table B</w:t>
      </w:r>
    </w:p>
    <w:p>
      <w:pPr>
        <w:pStyle w:val="Normal"/>
        <w:rPr>
          <w:b/>
          <w:bCs/>
          <w:sz w:val="24"/>
          <w:szCs w:val="24"/>
        </w:rPr>
      </w:pPr>
      <w:r>
        <w:rPr>
          <w:b/>
          <w:bCs/>
          <w:i/>
          <w:iCs/>
          <w:sz w:val="28"/>
          <w:szCs w:val="28"/>
        </w:rPr>
        <w:t>LNG Deliveries</w:t>
        <w:tab/>
        <w:tab/>
        <w:tab/>
        <w:tab/>
      </w:r>
    </w:p>
    <w:tbl>
      <w:tblPr>
        <w:tblW w:w="10813" w:type="dxa"/>
        <w:jc w:val="start"/>
        <w:tblInd w:w="198" w:type="dxa"/>
        <w:tblLayout w:type="fixed"/>
        <w:tblCellMar>
          <w:top w:w="0" w:type="dxa"/>
          <w:start w:w="108" w:type="dxa"/>
          <w:bottom w:w="0" w:type="dxa"/>
          <w:end w:w="108" w:type="dxa"/>
        </w:tblCellMar>
      </w:tblPr>
      <w:tblGrid>
        <w:gridCol w:w="1375"/>
        <w:gridCol w:w="1573"/>
        <w:gridCol w:w="1573"/>
        <w:gridCol w:w="1573"/>
        <w:gridCol w:w="1573"/>
        <w:gridCol w:w="1573"/>
        <w:gridCol w:w="1573"/>
      </w:tblGrid>
      <w:tr>
        <w:trPr/>
        <w:tc>
          <w:tcPr>
            <w:tcW w:w="10813" w:type="dxa"/>
            <w:gridSpan w:val="7"/>
            <w:tcBorders>
              <w:top w:val="single" w:sz="12" w:space="0" w:color="000000"/>
              <w:start w:val="single" w:sz="12" w:space="0" w:color="000000"/>
              <w:bottom w:val="single" w:sz="6" w:space="0" w:color="000000"/>
              <w:end w:val="single" w:sz="12" w:space="0" w:color="000000"/>
            </w:tcBorders>
          </w:tcPr>
          <w:p>
            <w:pPr>
              <w:pStyle w:val="Normal"/>
              <w:jc w:val="center"/>
              <w:rPr>
                <w:b/>
                <w:bCs/>
                <w:i/>
                <w:i/>
                <w:iCs/>
                <w:sz w:val="28"/>
                <w:szCs w:val="28"/>
                <w:u w:val="single"/>
              </w:rPr>
            </w:pPr>
            <w:r>
              <w:rPr>
                <w:b/>
                <w:bCs/>
                <w:sz w:val="24"/>
                <w:szCs w:val="24"/>
              </w:rPr>
              <w:t>U.S. LNG Deliveries, Gross Gas</w:t>
            </w:r>
          </w:p>
        </w:tc>
      </w:tr>
      <w:tr>
        <w:trPr/>
        <w:tc>
          <w:tcPr>
            <w:tcW w:w="1375"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bCs/>
                <w:i/>
                <w:i/>
                <w:iCs/>
                <w:sz w:val="24"/>
                <w:szCs w:val="24"/>
                <w:u w:val="single"/>
              </w:rPr>
            </w:pPr>
            <w:r>
              <w:rPr>
                <w:b/>
                <w:bCs/>
                <w:i/>
                <w:iCs/>
                <w:sz w:val="24"/>
                <w:szCs w:val="24"/>
                <w:u w:val="single"/>
              </w:rPr>
            </w:r>
          </w:p>
          <w:p>
            <w:pPr>
              <w:pStyle w:val="Normal"/>
              <w:jc w:val="center"/>
              <w:rPr>
                <w:b/>
                <w:bCs/>
                <w:i/>
                <w:i/>
                <w:iCs/>
                <w:sz w:val="28"/>
                <w:szCs w:val="28"/>
                <w:u w:val="single"/>
              </w:rPr>
            </w:pPr>
            <w:r>
              <w:rPr>
                <w:b/>
                <w:bCs/>
                <w:sz w:val="24"/>
                <w:szCs w:val="24"/>
              </w:rPr>
              <w:t>Region</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Storage Capacity</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Send out</w:t>
            </w:r>
          </w:p>
          <w:p>
            <w:pPr>
              <w:pStyle w:val="Normal"/>
              <w:jc w:val="center"/>
              <w:rPr>
                <w:b/>
                <w:bCs/>
                <w:sz w:val="24"/>
                <w:szCs w:val="24"/>
              </w:rPr>
            </w:pPr>
            <w:r>
              <w:rPr>
                <w:b/>
                <w:bCs/>
                <w:sz w:val="24"/>
                <w:szCs w:val="24"/>
              </w:rPr>
              <w:t>Capability</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Week Receipts</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Month Cumulative</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Cumulative</w:t>
            </w:r>
          </w:p>
          <w:p>
            <w:pPr>
              <w:pStyle w:val="Normal"/>
              <w:jc w:val="center"/>
              <w:rPr>
                <w:b/>
                <w:bCs/>
                <w:sz w:val="24"/>
                <w:szCs w:val="24"/>
              </w:rPr>
            </w:pPr>
            <w:r>
              <w:rPr>
                <w:b/>
                <w:bCs/>
                <w:sz w:val="24"/>
                <w:szCs w:val="24"/>
              </w:rPr>
              <w:t>Receipts</w:t>
            </w:r>
          </w:p>
        </w:tc>
        <w:tc>
          <w:tcPr>
            <w:tcW w:w="1573"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Cumulative Send Out</w:t>
            </w:r>
          </w:p>
        </w:tc>
      </w:tr>
      <w:tr>
        <w:trPr/>
        <w:tc>
          <w:tcPr>
            <w:tcW w:w="1375"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b/>
                <w:bCs/>
                <w:i/>
                <w:i/>
                <w:iCs/>
                <w:sz w:val="24"/>
                <w:szCs w:val="24"/>
                <w:u w:val="single"/>
              </w:rPr>
            </w:pPr>
            <w:r>
              <w:rPr>
                <w:b/>
                <w:bCs/>
                <w:i/>
                <w:iCs/>
                <w:sz w:val="24"/>
                <w:szCs w:val="24"/>
                <w:u w:val="single"/>
              </w:rPr>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MMCFD</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MMCF</w:t>
            </w:r>
          </w:p>
        </w:tc>
        <w:tc>
          <w:tcPr>
            <w:tcW w:w="1573"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MMCF</w:t>
            </w:r>
          </w:p>
        </w:tc>
      </w:tr>
      <w:tr>
        <w:trPr/>
        <w:tc>
          <w:tcPr>
            <w:tcW w:w="1375" w:type="dxa"/>
            <w:tcBorders>
              <w:top w:val="dashed" w:sz="6" w:space="0" w:color="auto"/>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1 NE</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3,500 Active; 5,000 Start 2002</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800  Active;</w:t>
            </w:r>
          </w:p>
          <w:p>
            <w:pPr>
              <w:pStyle w:val="Normal"/>
              <w:jc w:val="center"/>
              <w:rPr>
                <w:b/>
                <w:bCs/>
                <w:sz w:val="24"/>
                <w:szCs w:val="24"/>
              </w:rPr>
            </w:pPr>
            <w:r>
              <w:rPr>
                <w:b/>
                <w:bCs/>
                <w:sz w:val="24"/>
                <w:szCs w:val="24"/>
              </w:rPr>
              <w:t>1,800 in 2002</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56,700</w:t>
            </w:r>
          </w:p>
        </w:tc>
        <w:tc>
          <w:tcPr>
            <w:tcW w:w="1573" w:type="dxa"/>
            <w:tcBorders>
              <w:top w:val="dashed" w:sz="6" w:space="0" w:color="auto"/>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55,500</w:t>
            </w:r>
          </w:p>
        </w:tc>
      </w:tr>
      <w:tr>
        <w:trPr/>
        <w:tc>
          <w:tcPr>
            <w:tcW w:w="1375" w:type="dxa"/>
            <w:tcBorders>
              <w:top w:val="single" w:sz="6" w:space="0" w:color="000000"/>
              <w:start w:val="single" w:sz="12" w:space="0" w:color="000000"/>
              <w:bottom w:val="single" w:sz="6" w:space="0" w:color="000000"/>
              <w:end w:val="single" w:sz="6" w:space="0" w:color="000000"/>
            </w:tcBorders>
          </w:tcPr>
          <w:p>
            <w:pPr>
              <w:pStyle w:val="Normal"/>
              <w:jc w:val="center"/>
              <w:rPr>
                <w:b/>
                <w:bCs/>
                <w:sz w:val="24"/>
                <w:szCs w:val="24"/>
              </w:rPr>
            </w:pPr>
            <w:r>
              <w:rPr>
                <w:b/>
                <w:bCs/>
                <w:sz w:val="24"/>
                <w:szCs w:val="24"/>
              </w:rPr>
              <w:t>4 SE</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4,200 Start 2002</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NA</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4"/>
                <w:szCs w:val="24"/>
              </w:rPr>
            </w:pPr>
            <w:r>
              <w:rPr>
                <w:b/>
                <w:bCs/>
                <w:i/>
                <w:iCs/>
                <w:sz w:val="24"/>
                <w:szCs w:val="24"/>
              </w:rPr>
              <w:t>NA</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4"/>
                <w:szCs w:val="24"/>
              </w:rPr>
            </w:pPr>
            <w:r>
              <w:rPr>
                <w:b/>
                <w:bCs/>
                <w:i/>
                <w:iCs/>
                <w:sz w:val="24"/>
                <w:szCs w:val="24"/>
              </w:rPr>
              <w:t>NA</w:t>
            </w:r>
          </w:p>
        </w:tc>
        <w:tc>
          <w:tcPr>
            <w:tcW w:w="1573" w:type="dxa"/>
            <w:tcBorders>
              <w:top w:val="single" w:sz="6" w:space="0" w:color="000000"/>
              <w:start w:val="single" w:sz="6" w:space="0" w:color="000000"/>
              <w:bottom w:val="single" w:sz="6" w:space="0" w:color="000000"/>
              <w:end w:val="single" w:sz="6" w:space="0" w:color="000000"/>
            </w:tcBorders>
          </w:tcPr>
          <w:p>
            <w:pPr>
              <w:pStyle w:val="Normal"/>
              <w:jc w:val="center"/>
              <w:rPr>
                <w:b/>
                <w:bCs/>
                <w:i/>
                <w:i/>
                <w:iCs/>
                <w:sz w:val="24"/>
                <w:szCs w:val="24"/>
              </w:rPr>
            </w:pPr>
            <w:r>
              <w:rPr>
                <w:b/>
                <w:bCs/>
                <w:i/>
                <w:iCs/>
                <w:sz w:val="24"/>
                <w:szCs w:val="24"/>
              </w:rPr>
              <w:t>NA</w:t>
            </w:r>
          </w:p>
        </w:tc>
        <w:tc>
          <w:tcPr>
            <w:tcW w:w="1573" w:type="dxa"/>
            <w:tcBorders>
              <w:top w:val="single" w:sz="6" w:space="0" w:color="000000"/>
              <w:start w:val="single" w:sz="6" w:space="0" w:color="000000"/>
              <w:bottom w:val="single" w:sz="6" w:space="0" w:color="000000"/>
              <w:end w:val="single" w:sz="12" w:space="0" w:color="000000"/>
            </w:tcBorders>
          </w:tcPr>
          <w:p>
            <w:pPr>
              <w:pStyle w:val="Normal"/>
              <w:jc w:val="center"/>
              <w:rPr>
                <w:b/>
                <w:bCs/>
                <w:i/>
                <w:i/>
                <w:iCs/>
                <w:sz w:val="24"/>
                <w:szCs w:val="24"/>
              </w:rPr>
            </w:pPr>
            <w:r>
              <w:rPr>
                <w:b/>
                <w:bCs/>
                <w:i/>
                <w:iCs/>
                <w:sz w:val="24"/>
                <w:szCs w:val="24"/>
              </w:rPr>
              <w:t>NA</w:t>
            </w:r>
          </w:p>
        </w:tc>
      </w:tr>
      <w:tr>
        <w:trPr/>
        <w:tc>
          <w:tcPr>
            <w:tcW w:w="1375" w:type="dxa"/>
            <w:tcBorders>
              <w:top w:val="dashed" w:sz="6" w:space="0" w:color="auto"/>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5 SW</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6,300 Active</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700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i/>
                <w:i/>
                <w:iCs/>
                <w:sz w:val="24"/>
                <w:szCs w:val="24"/>
              </w:rPr>
            </w:pPr>
            <w:r>
              <w:rPr>
                <w:b/>
                <w:bCs/>
                <w:sz w:val="24"/>
                <w:szCs w:val="24"/>
              </w:rPr>
              <w:t>0</w:t>
            </w:r>
          </w:p>
        </w:tc>
        <w:tc>
          <w:tcPr>
            <w:tcW w:w="1573" w:type="dxa"/>
            <w:tcBorders>
              <w:top w:val="dashed" w:sz="6" w:space="0" w:color="auto"/>
              <w:start w:val="single" w:sz="6" w:space="0" w:color="000000"/>
              <w:bottom w:val="dashed" w:sz="6" w:space="0" w:color="auto"/>
              <w:end w:val="single" w:sz="6" w:space="0" w:color="000000"/>
            </w:tcBorders>
          </w:tcPr>
          <w:p>
            <w:pPr>
              <w:pStyle w:val="Normal"/>
              <w:jc w:val="center"/>
              <w:rPr>
                <w:b/>
                <w:bCs/>
                <w:i/>
                <w:i/>
                <w:iCs/>
                <w:sz w:val="24"/>
                <w:szCs w:val="24"/>
              </w:rPr>
            </w:pPr>
            <w:r>
              <w:rPr>
                <w:b/>
                <w:bCs/>
                <w:sz w:val="24"/>
                <w:szCs w:val="24"/>
              </w:rPr>
              <w:t>89,750</w:t>
            </w:r>
          </w:p>
        </w:tc>
        <w:tc>
          <w:tcPr>
            <w:tcW w:w="1573" w:type="dxa"/>
            <w:tcBorders>
              <w:top w:val="dashed" w:sz="6" w:space="0" w:color="auto"/>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88,000</w:t>
            </w:r>
          </w:p>
        </w:tc>
      </w:tr>
      <w:tr>
        <w:trPr/>
        <w:tc>
          <w:tcPr>
            <w:tcW w:w="1375" w:type="dxa"/>
            <w:tcBorders>
              <w:top w:val="single" w:sz="6" w:space="0" w:color="000000"/>
              <w:start w:val="single" w:sz="12" w:space="0" w:color="000000"/>
              <w:bottom w:val="single" w:sz="12" w:space="0" w:color="000000"/>
              <w:end w:val="single" w:sz="6" w:space="0" w:color="000000"/>
            </w:tcBorders>
          </w:tcPr>
          <w:p>
            <w:pPr>
              <w:pStyle w:val="Normal"/>
              <w:jc w:val="center"/>
              <w:rPr>
                <w:b/>
                <w:bCs/>
                <w:sz w:val="24"/>
                <w:szCs w:val="24"/>
              </w:rPr>
            </w:pPr>
            <w:r>
              <w:rPr>
                <w:b/>
                <w:bCs/>
                <w:sz w:val="24"/>
                <w:szCs w:val="24"/>
              </w:rPr>
              <w:t>Total U.S.</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9,800 Active</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1,500</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w:t>
            </w:r>
          </w:p>
        </w:tc>
        <w:tc>
          <w:tcPr>
            <w:tcW w:w="1573"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146,450</w:t>
            </w:r>
          </w:p>
        </w:tc>
        <w:tc>
          <w:tcPr>
            <w:tcW w:w="1573" w:type="dxa"/>
            <w:tcBorders>
              <w:top w:val="single" w:sz="6" w:space="0" w:color="000000"/>
              <w:start w:val="single" w:sz="6" w:space="0" w:color="000000"/>
              <w:bottom w:val="single" w:sz="12" w:space="0" w:color="000000"/>
              <w:end w:val="single" w:sz="12" w:space="0" w:color="000000"/>
            </w:tcBorders>
          </w:tcPr>
          <w:p>
            <w:pPr>
              <w:pStyle w:val="Normal"/>
              <w:jc w:val="center"/>
              <w:rPr>
                <w:b/>
                <w:bCs/>
                <w:sz w:val="24"/>
                <w:szCs w:val="24"/>
              </w:rPr>
            </w:pPr>
            <w:r>
              <w:rPr>
                <w:b/>
                <w:bCs/>
                <w:sz w:val="24"/>
                <w:szCs w:val="24"/>
              </w:rPr>
              <w:t>143,500</w:t>
            </w:r>
          </w:p>
        </w:tc>
      </w:tr>
    </w:tbl>
    <w:p>
      <w:pPr>
        <w:pStyle w:val="Normal"/>
        <w:rPr>
          <w:b/>
          <w:bCs/>
          <w:i/>
          <w:i/>
          <w:iCs/>
          <w:sz w:val="32"/>
          <w:szCs w:val="32"/>
        </w:rPr>
      </w:pPr>
      <w:r>
        <w:rPr>
          <w:b/>
          <w:bCs/>
          <w:sz w:val="24"/>
          <w:szCs w:val="24"/>
        </w:rPr>
        <w:tab/>
        <w:t>This week neither Cabot nor CMS received any cargoes, apparently because of the July 4</w:t>
      </w:r>
      <w:r>
        <w:rPr>
          <w:b/>
          <w:bCs/>
          <w:sz w:val="24"/>
          <w:szCs w:val="24"/>
          <w:vertAlign w:val="superscript"/>
        </w:rPr>
        <w:t>th</w:t>
      </w:r>
      <w:r>
        <w:rPr>
          <w:b/>
          <w:bCs/>
          <w:sz w:val="24"/>
          <w:szCs w:val="24"/>
        </w:rPr>
        <w:t xml:space="preserve"> holiday that would have incurred holiday pay scales to receive and unload. This week’s special topic addresses LNG and Pipeline natural gas imports and exports from 1995-2000, according to EIA data. The purpose is to quantify natural gas net imports for all gas forms and delivery modes.</w:t>
      </w:r>
    </w:p>
    <w:p>
      <w:pPr>
        <w:pStyle w:val="Normal"/>
        <w:rPr>
          <w:b/>
          <w:bCs/>
          <w:i/>
          <w:i/>
          <w:iCs/>
          <w:sz w:val="32"/>
          <w:szCs w:val="32"/>
        </w:rPr>
      </w:pPr>
      <w:r>
        <w:rPr>
          <w:b/>
          <w:bCs/>
          <w:i/>
          <w:iCs/>
          <w:sz w:val="32"/>
          <w:szCs w:val="32"/>
        </w:rPr>
        <w:t xml:space="preserve">Summary and Rankings </w:t>
      </w:r>
    </w:p>
    <w:p>
      <w:pPr>
        <w:pStyle w:val="Normal"/>
        <w:rPr>
          <w:b/>
          <w:bCs/>
          <w:sz w:val="24"/>
          <w:szCs w:val="24"/>
        </w:rPr>
      </w:pPr>
      <w:r>
        <w:rPr>
          <w:b/>
          <w:bCs/>
          <w:i/>
          <w:iCs/>
          <w:sz w:val="28"/>
          <w:szCs w:val="28"/>
          <w:u w:val="single"/>
        </w:rPr>
        <w:t>Sections B &amp; C</w:t>
      </w:r>
      <w:r>
        <w:rPr>
          <w:b/>
          <w:bCs/>
          <w:i/>
          <w:iCs/>
          <w:sz w:val="28"/>
          <w:szCs w:val="28"/>
        </w:rPr>
        <w:t xml:space="preserve">:  Weekly Regional </w:t>
      </w:r>
      <w:r>
        <w:rPr>
          <w:b/>
          <w:bCs/>
          <w:i/>
          <w:iCs/>
          <w:sz w:val="32"/>
          <w:szCs w:val="32"/>
          <w:u w:val="single"/>
        </w:rPr>
        <w:t>Gross Gas</w:t>
      </w:r>
      <w:r>
        <w:rPr>
          <w:b/>
          <w:bCs/>
          <w:i/>
          <w:iCs/>
          <w:sz w:val="28"/>
          <w:szCs w:val="28"/>
        </w:rPr>
        <w:t xml:space="preserve"> Inventory Change and  Comparison to EOS (End Of Season) GasFax</w:t>
      </w:r>
      <w:r>
        <w:rPr>
          <w:b/>
          <w:bCs/>
          <w:i/>
          <w:iCs/>
        </w:rPr>
        <w:t>®</w:t>
      </w:r>
      <w:r>
        <w:rPr>
          <w:b/>
          <w:bCs/>
          <w:i/>
          <w:iCs/>
          <w:sz w:val="28"/>
          <w:szCs w:val="28"/>
        </w:rPr>
        <w:t xml:space="preserve">  3 Year Average Inventory</w:t>
      </w:r>
    </w:p>
    <w:p>
      <w:pPr>
        <w:pStyle w:val="Normal"/>
        <w:jc w:val="center"/>
        <w:rPr/>
      </w:pPr>
      <w:r>
        <w:rPr/>
        <w:t>Table C</w:t>
      </w:r>
    </w:p>
    <w:tbl>
      <w:tblPr>
        <w:tblW w:w="10710" w:type="dxa"/>
        <w:jc w:val="start"/>
        <w:tblInd w:w="198" w:type="dxa"/>
        <w:tblLayout w:type="fixed"/>
        <w:tblCellMar>
          <w:top w:w="0" w:type="dxa"/>
          <w:start w:w="108" w:type="dxa"/>
          <w:bottom w:w="0" w:type="dxa"/>
          <w:end w:w="108" w:type="dxa"/>
        </w:tblCellMar>
      </w:tblPr>
      <w:tblGrid>
        <w:gridCol w:w="2016"/>
        <w:gridCol w:w="1107"/>
        <w:gridCol w:w="1107"/>
        <w:gridCol w:w="1107"/>
        <w:gridCol w:w="1107"/>
        <w:gridCol w:w="1107"/>
        <w:gridCol w:w="1107"/>
        <w:gridCol w:w="1116"/>
        <w:gridCol w:w="936"/>
      </w:tblGrid>
      <w:tr>
        <w:trPr/>
        <w:tc>
          <w:tcPr>
            <w:tcW w:w="2016" w:type="dxa"/>
            <w:tcBorders>
              <w:top w:val="single" w:sz="12" w:space="0" w:color="000000"/>
              <w:start w:val="single" w:sz="12" w:space="0" w:color="000000"/>
              <w:bottom w:val="single" w:sz="6" w:space="0" w:color="000000"/>
              <w:end w:val="single" w:sz="6" w:space="0" w:color="000000"/>
            </w:tcBorders>
          </w:tcPr>
          <w:p>
            <w:pPr>
              <w:pStyle w:val="Normal"/>
              <w:rPr>
                <w:b/>
                <w:bCs/>
                <w:sz w:val="24"/>
                <w:szCs w:val="24"/>
              </w:rPr>
            </w:pPr>
            <w:r>
              <w:rPr>
                <w:b/>
                <w:bCs/>
                <w:sz w:val="24"/>
                <w:szCs w:val="24"/>
              </w:rPr>
              <w:t>Weekly Ranking</w:t>
            </w:r>
          </w:p>
        </w:tc>
        <w:tc>
          <w:tcPr>
            <w:tcW w:w="2214" w:type="dxa"/>
            <w:gridSpan w:val="2"/>
            <w:tcBorders>
              <w:top w:val="single" w:sz="12"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 </w:t>
            </w:r>
            <w:r>
              <w:rPr>
                <w:b/>
                <w:bCs/>
                <w:sz w:val="24"/>
                <w:szCs w:val="24"/>
              </w:rPr>
              <w:t>Weekly Change BCFW</w:t>
            </w:r>
          </w:p>
        </w:tc>
        <w:tc>
          <w:tcPr>
            <w:tcW w:w="2214" w:type="dxa"/>
            <w:gridSpan w:val="2"/>
            <w:tcBorders>
              <w:top w:val="single" w:sz="12"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Avg Daily Change BCFDxc</w:t>
            </w:r>
          </w:p>
        </w:tc>
        <w:tc>
          <w:tcPr>
            <w:tcW w:w="2214" w:type="dxa"/>
            <w:gridSpan w:val="2"/>
            <w:tcBorders>
              <w:top w:val="single" w:sz="12"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Avg Change To Meet EOS Levels   BCFW</w:t>
            </w:r>
          </w:p>
        </w:tc>
        <w:tc>
          <w:tcPr>
            <w:tcW w:w="2052" w:type="dxa"/>
            <w:gridSpan w:val="2"/>
            <w:tcBorders>
              <w:top w:val="single" w:sz="12"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Avg Change To Meet EOS Levels BCFD</w:t>
            </w:r>
          </w:p>
        </w:tc>
      </w:tr>
      <w:tr>
        <w:trPr>
          <w:trHeight w:val="318" w:hRule="atLeast"/>
        </w:trPr>
        <w:tc>
          <w:tcPr>
            <w:tcW w:w="2016" w:type="dxa"/>
            <w:tcBorders>
              <w:top w:val="single" w:sz="6" w:space="0" w:color="000000"/>
              <w:start w:val="single" w:sz="12" w:space="0" w:color="000000"/>
              <w:bottom w:val="dashed" w:sz="6" w:space="0" w:color="auto"/>
              <w:end w:val="single" w:sz="6" w:space="0" w:color="000000"/>
            </w:tcBorders>
          </w:tcPr>
          <w:p>
            <w:pPr>
              <w:pStyle w:val="Normal"/>
              <w:snapToGrid w:val="false"/>
              <w:jc w:val="center"/>
              <w:rPr>
                <w:b/>
                <w:bCs/>
                <w:sz w:val="24"/>
                <w:szCs w:val="24"/>
              </w:rPr>
            </w:pPr>
            <w:r>
              <w:rPr>
                <w:b/>
                <w:bCs/>
                <w:sz w:val="24"/>
                <w:szCs w:val="24"/>
              </w:rPr>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Current</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Prior</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Current</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Prior</w:t>
            </w:r>
          </w:p>
        </w:tc>
        <w:tc>
          <w:tcPr>
            <w:tcW w:w="1107" w:type="dxa"/>
            <w:tcBorders>
              <w:top w:val="single" w:sz="6" w:space="0" w:color="000000"/>
              <w:start w:val="single" w:sz="6" w:space="0" w:color="000000"/>
              <w:bottom w:val="dashed" w:sz="6" w:space="0" w:color="auto"/>
              <w:end w:val="single" w:sz="6" w:space="0" w:color="000000"/>
            </w:tcBorders>
          </w:tcPr>
          <w:p>
            <w:pPr>
              <w:pStyle w:val="Heading2"/>
              <w:ind w:hanging="0" w:start="0"/>
              <w:rPr/>
            </w:pPr>
            <w:r>
              <w:rPr/>
              <w:t>Current</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Prior</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Current</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Prior</w:t>
            </w:r>
          </w:p>
        </w:tc>
      </w:tr>
      <w:tr>
        <w:trPr/>
        <w:tc>
          <w:tcPr>
            <w:tcW w:w="2016" w:type="dxa"/>
            <w:tcBorders>
              <w:top w:val="single" w:sz="6" w:space="0" w:color="000000"/>
              <w:start w:val="single" w:sz="12" w:space="0" w:color="000000"/>
              <w:bottom w:val="single" w:sz="6" w:space="0" w:color="000000"/>
              <w:end w:val="single" w:sz="6" w:space="0" w:color="000000"/>
            </w:tcBorders>
          </w:tcPr>
          <w:p>
            <w:pPr>
              <w:pStyle w:val="Normal"/>
              <w:jc w:val="center"/>
              <w:rPr>
                <w:b/>
                <w:bCs/>
                <w:sz w:val="24"/>
                <w:szCs w:val="24"/>
              </w:rPr>
            </w:pPr>
            <w:r>
              <w:rPr>
                <w:b/>
                <w:bCs/>
                <w:sz w:val="24"/>
                <w:szCs w:val="24"/>
              </w:rPr>
              <w:t>North America</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89.9</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91.1</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12.8</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13.0</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71.4</w:t>
            </w:r>
          </w:p>
        </w:tc>
        <w:tc>
          <w:tcPr>
            <w:tcW w:w="1107"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72.1</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10.2</w:t>
            </w:r>
          </w:p>
        </w:tc>
        <w:tc>
          <w:tcPr>
            <w:tcW w:w="936" w:type="dxa"/>
            <w:tcBorders>
              <w:top w:val="single" w:sz="6" w:space="0" w:color="000000"/>
              <w:start w:val="single" w:sz="6" w:space="0" w:color="000000"/>
              <w:bottom w:val="single" w:sz="6" w:space="0" w:color="000000"/>
              <w:end w:val="single" w:sz="12" w:space="0" w:color="000000"/>
            </w:tcBorders>
          </w:tcPr>
          <w:p>
            <w:pPr>
              <w:pStyle w:val="Normal"/>
              <w:jc w:val="center"/>
              <w:rPr>
                <w:b/>
                <w:bCs/>
                <w:sz w:val="24"/>
                <w:szCs w:val="24"/>
              </w:rPr>
            </w:pPr>
            <w:r>
              <w:rPr>
                <w:b/>
                <w:bCs/>
                <w:sz w:val="24"/>
                <w:szCs w:val="24"/>
              </w:rPr>
              <w:t>10.3</w:t>
            </w:r>
          </w:p>
        </w:tc>
      </w:tr>
      <w:tr>
        <w:trPr/>
        <w:tc>
          <w:tcPr>
            <w:tcW w:w="2016" w:type="dxa"/>
            <w:tcBorders>
              <w:top w:val="single" w:sz="6" w:space="0" w:color="000000"/>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United States</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84.1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85.7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12.0</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12.2</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67.2</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67.9</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9.6</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9.7</w:t>
            </w:r>
          </w:p>
        </w:tc>
      </w:tr>
      <w:tr>
        <w:trPr/>
        <w:tc>
          <w:tcPr>
            <w:tcW w:w="2016" w:type="dxa"/>
            <w:tcBorders>
              <w:top w:val="single" w:sz="6" w:space="0" w:color="000000"/>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Region 2 ENC</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27.3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34.4</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25.2</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25.2</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3.6</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3.6</w:t>
            </w:r>
          </w:p>
        </w:tc>
      </w:tr>
      <w:tr>
        <w:trPr/>
        <w:tc>
          <w:tcPr>
            <w:tcW w:w="2016" w:type="dxa"/>
            <w:tcBorders>
              <w:top w:val="single" w:sz="6" w:space="0" w:color="000000"/>
              <w:start w:val="single" w:sz="12" w:space="0" w:color="000000"/>
              <w:bottom w:val="dashed" w:sz="6" w:space="0" w:color="auto"/>
              <w:end w:val="single" w:sz="6" w:space="0" w:color="000000"/>
            </w:tcBorders>
          </w:tcPr>
          <w:p>
            <w:pPr>
              <w:pStyle w:val="Heading8"/>
              <w:ind w:hanging="0" w:start="0"/>
              <w:jc w:val="start"/>
              <w:rPr/>
            </w:pPr>
            <w:r>
              <w:rPr/>
              <w:t xml:space="preserve">   </w:t>
            </w:r>
            <w:r>
              <w:rPr/>
              <w:t>Region 1 NE</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26.5</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32.6</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3.8</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15.4</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2.1</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2.2</w:t>
            </w:r>
          </w:p>
        </w:tc>
      </w:tr>
      <w:tr>
        <w:trPr/>
        <w:tc>
          <w:tcPr>
            <w:tcW w:w="2016" w:type="dxa"/>
            <w:tcBorders>
              <w:top w:val="single" w:sz="6" w:space="0" w:color="000000"/>
              <w:start w:val="single" w:sz="12" w:space="0" w:color="000000"/>
              <w:bottom w:val="dashed" w:sz="6" w:space="0" w:color="auto"/>
              <w:end w:val="single" w:sz="6" w:space="0" w:color="000000"/>
            </w:tcBorders>
          </w:tcPr>
          <w:p>
            <w:pPr>
              <w:pStyle w:val="Normal"/>
              <w:jc w:val="center"/>
              <w:rPr>
                <w:b/>
                <w:bCs/>
                <w:sz w:val="24"/>
                <w:szCs w:val="24"/>
              </w:rPr>
            </w:pPr>
            <w:r>
              <w:rPr>
                <w:b/>
                <w:bCs/>
                <w:sz w:val="24"/>
                <w:szCs w:val="24"/>
              </w:rPr>
              <w:t>Region 5 SW</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16.0</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11.2</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14.7</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2.1</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2.1</w:t>
            </w:r>
          </w:p>
        </w:tc>
      </w:tr>
      <w:tr>
        <w:trPr/>
        <w:tc>
          <w:tcPr>
            <w:tcW w:w="2016" w:type="dxa"/>
            <w:tcBorders>
              <w:top w:val="single" w:sz="6" w:space="0" w:color="000000"/>
              <w:start w:val="single" w:sz="12" w:space="0" w:color="000000"/>
              <w:bottom w:val="dashed" w:sz="6" w:space="0" w:color="auto"/>
              <w:end w:val="single" w:sz="6" w:space="0" w:color="000000"/>
            </w:tcBorders>
          </w:tcPr>
          <w:p>
            <w:pPr>
              <w:pStyle w:val="Heading8"/>
              <w:ind w:hanging="0" w:start="0"/>
              <w:rPr/>
            </w:pPr>
            <w:r>
              <w:rPr/>
              <w:t>Region 7 PAC</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5.0</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4.9</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4.9</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0.7</w:t>
            </w:r>
          </w:p>
        </w:tc>
      </w:tr>
      <w:tr>
        <w:trPr/>
        <w:tc>
          <w:tcPr>
            <w:tcW w:w="2016" w:type="dxa"/>
            <w:tcBorders>
              <w:top w:val="single" w:sz="6" w:space="0" w:color="000000"/>
              <w:start w:val="single" w:sz="12" w:space="0" w:color="000000"/>
              <w:bottom w:val="dashed" w:sz="6" w:space="0" w:color="auto"/>
              <w:end w:val="single" w:sz="6" w:space="0" w:color="000000"/>
            </w:tcBorders>
          </w:tcPr>
          <w:p>
            <w:pPr>
              <w:pStyle w:val="Heading8"/>
              <w:ind w:hanging="0" w:start="0"/>
              <w:rPr/>
            </w:pPr>
            <w:r>
              <w:rPr/>
              <w:t>Region 3 WNC</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5.1</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0.7</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0.5</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5.6</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0.9</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0.9</w:t>
            </w:r>
          </w:p>
        </w:tc>
      </w:tr>
      <w:tr>
        <w:trPr/>
        <w:tc>
          <w:tcPr>
            <w:tcW w:w="2016" w:type="dxa"/>
            <w:tcBorders>
              <w:top w:val="single" w:sz="6" w:space="0" w:color="000000"/>
              <w:start w:val="single" w:sz="12" w:space="0" w:color="000000"/>
              <w:bottom w:val="dashed" w:sz="6" w:space="0" w:color="auto"/>
              <w:end w:val="single" w:sz="6" w:space="0" w:color="000000"/>
            </w:tcBorders>
          </w:tcPr>
          <w:p>
            <w:pPr>
              <w:pStyle w:val="Heading8"/>
              <w:ind w:hanging="0" w:start="0"/>
              <w:rPr/>
            </w:pPr>
            <w:r>
              <w:rPr/>
              <w:t>Region 6 MTN</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3.8</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0.5</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0.3</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w:t>
            </w:r>
          </w:p>
        </w:tc>
        <w:tc>
          <w:tcPr>
            <w:tcW w:w="1107"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3.5</w:t>
            </w:r>
          </w:p>
        </w:tc>
        <w:tc>
          <w:tcPr>
            <w:tcW w:w="111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0.5</w:t>
            </w:r>
          </w:p>
        </w:tc>
        <w:tc>
          <w:tcPr>
            <w:tcW w:w="936" w:type="dxa"/>
            <w:tcBorders>
              <w:top w:val="single" w:sz="6" w:space="0" w:color="000000"/>
              <w:start w:val="single" w:sz="6" w:space="0" w:color="000000"/>
              <w:bottom w:val="dashed" w:sz="6" w:space="0" w:color="auto"/>
              <w:end w:val="single" w:sz="12" w:space="0" w:color="000000"/>
            </w:tcBorders>
          </w:tcPr>
          <w:p>
            <w:pPr>
              <w:pStyle w:val="Normal"/>
              <w:jc w:val="center"/>
              <w:rPr>
                <w:b/>
                <w:bCs/>
                <w:sz w:val="24"/>
                <w:szCs w:val="24"/>
              </w:rPr>
            </w:pPr>
            <w:r>
              <w:rPr>
                <w:b/>
                <w:bCs/>
                <w:sz w:val="24"/>
                <w:szCs w:val="24"/>
              </w:rPr>
              <w:t>0.5</w:t>
            </w:r>
          </w:p>
        </w:tc>
      </w:tr>
      <w:tr>
        <w:trPr/>
        <w:tc>
          <w:tcPr>
            <w:tcW w:w="2016" w:type="dxa"/>
            <w:tcBorders>
              <w:top w:val="single" w:sz="6" w:space="0" w:color="000000"/>
              <w:start w:val="single" w:sz="12" w:space="0" w:color="000000"/>
              <w:bottom w:val="single" w:sz="12" w:space="0" w:color="000000"/>
              <w:end w:val="single" w:sz="6" w:space="0" w:color="000000"/>
            </w:tcBorders>
          </w:tcPr>
          <w:p>
            <w:pPr>
              <w:pStyle w:val="Heading8"/>
              <w:ind w:hanging="0" w:start="0"/>
              <w:rPr/>
            </w:pPr>
            <w:r>
              <w:rPr/>
              <w:t>Region 4 SE</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3.4</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2.1</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0.5</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0.3</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2.8</w:t>
            </w:r>
          </w:p>
        </w:tc>
        <w:tc>
          <w:tcPr>
            <w:tcW w:w="1107"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2.8</w:t>
            </w:r>
          </w:p>
        </w:tc>
        <w:tc>
          <w:tcPr>
            <w:tcW w:w="1116" w:type="dxa"/>
            <w:tcBorders>
              <w:top w:val="single" w:sz="6" w:space="0" w:color="000000"/>
              <w:start w:val="single" w:sz="6" w:space="0" w:color="000000"/>
              <w:bottom w:val="single" w:sz="12" w:space="0" w:color="000000"/>
              <w:end w:val="single" w:sz="6" w:space="0" w:color="000000"/>
            </w:tcBorders>
          </w:tcPr>
          <w:p>
            <w:pPr>
              <w:pStyle w:val="Normal"/>
              <w:jc w:val="center"/>
              <w:rPr>
                <w:b/>
                <w:bCs/>
                <w:sz w:val="24"/>
                <w:szCs w:val="24"/>
              </w:rPr>
            </w:pPr>
            <w:r>
              <w:rPr>
                <w:b/>
                <w:bCs/>
                <w:sz w:val="24"/>
                <w:szCs w:val="24"/>
              </w:rPr>
              <w:t>0.4</w:t>
            </w:r>
          </w:p>
        </w:tc>
        <w:tc>
          <w:tcPr>
            <w:tcW w:w="936" w:type="dxa"/>
            <w:tcBorders>
              <w:top w:val="single" w:sz="6" w:space="0" w:color="000000"/>
              <w:start w:val="single" w:sz="6" w:space="0" w:color="000000"/>
              <w:bottom w:val="single" w:sz="12" w:space="0" w:color="000000"/>
              <w:end w:val="single" w:sz="12" w:space="0" w:color="000000"/>
            </w:tcBorders>
          </w:tcPr>
          <w:p>
            <w:pPr>
              <w:pStyle w:val="Normal"/>
              <w:jc w:val="center"/>
              <w:rPr>
                <w:b/>
                <w:bCs/>
                <w:sz w:val="24"/>
                <w:szCs w:val="24"/>
              </w:rPr>
            </w:pPr>
            <w:r>
              <w:rPr>
                <w:b/>
                <w:bCs/>
                <w:sz w:val="24"/>
                <w:szCs w:val="24"/>
              </w:rPr>
              <w:t>0.4</w:t>
            </w:r>
          </w:p>
        </w:tc>
      </w:tr>
    </w:tbl>
    <w:p>
      <w:pPr>
        <w:pStyle w:val="WW-BodyText220"/>
        <w:rPr/>
      </w:pPr>
      <w:r>
        <w:rPr/>
        <w:t>With exception of Region 3 (WNC), all regions injected either “target” needs or substantially more. Region 2 (ENC) was right at its average daily rates, but this is more a result of reservoir geology and large pipeline supplies via Alliance than any other reason. Region 1 (NE) put about 60% more in than target needs.</w:t>
      </w:r>
    </w:p>
    <w:p>
      <w:pPr>
        <w:pStyle w:val="Normal"/>
        <w:ind w:firstLine="720" w:end="0"/>
        <w:jc w:val="center"/>
        <w:rPr>
          <w:b/>
          <w:bCs/>
          <w:sz w:val="28"/>
          <w:szCs w:val="28"/>
        </w:rPr>
      </w:pPr>
      <w:r>
        <w:rPr>
          <w:b/>
          <w:bCs/>
          <w:sz w:val="28"/>
          <w:szCs w:val="28"/>
        </w:rPr>
      </w:r>
    </w:p>
    <w:p>
      <w:pPr>
        <w:pStyle w:val="Normal"/>
        <w:ind w:firstLine="720" w:end="0"/>
        <w:jc w:val="center"/>
        <w:rPr>
          <w:b/>
          <w:bCs/>
          <w:sz w:val="28"/>
          <w:szCs w:val="28"/>
        </w:rPr>
      </w:pPr>
      <w:r>
        <w:rPr>
          <w:b/>
          <w:bCs/>
          <w:sz w:val="28"/>
          <w:szCs w:val="28"/>
        </w:rPr>
      </w:r>
    </w:p>
    <w:p>
      <w:pPr>
        <w:pStyle w:val="Normal"/>
        <w:ind w:firstLine="720" w:end="0"/>
        <w:jc w:val="center"/>
        <w:rPr>
          <w:b/>
          <w:bCs/>
          <w:sz w:val="28"/>
          <w:szCs w:val="28"/>
        </w:rPr>
      </w:pPr>
      <w:r>
        <w:rPr>
          <w:b/>
          <w:bCs/>
          <w:sz w:val="28"/>
          <w:szCs w:val="28"/>
        </w:rPr>
      </w:r>
    </w:p>
    <w:p>
      <w:pPr>
        <w:pStyle w:val="Normal"/>
        <w:ind w:firstLine="720" w:end="0"/>
        <w:jc w:val="center"/>
        <w:rPr>
          <w:b/>
          <w:bCs/>
          <w:sz w:val="28"/>
          <w:szCs w:val="28"/>
        </w:rPr>
      </w:pPr>
      <w:r>
        <w:rPr>
          <w:b/>
          <w:bCs/>
          <w:sz w:val="28"/>
          <w:szCs w:val="28"/>
        </w:rPr>
      </w:r>
    </w:p>
    <w:p>
      <w:pPr>
        <w:pStyle w:val="Normal"/>
        <w:ind w:firstLine="720" w:end="0"/>
        <w:jc w:val="center"/>
        <w:rPr>
          <w:b/>
          <w:bCs/>
          <w:sz w:val="28"/>
          <w:szCs w:val="28"/>
        </w:rPr>
      </w:pPr>
      <w:r>
        <w:rPr>
          <w:b/>
          <w:bCs/>
          <w:sz w:val="28"/>
          <w:szCs w:val="28"/>
        </w:rPr>
        <w:t>Table D</w:t>
      </w:r>
    </w:p>
    <w:p>
      <w:pPr>
        <w:pStyle w:val="Normal"/>
        <w:jc w:val="center"/>
        <w:rPr/>
      </w:pPr>
      <w:r>
        <w:rPr>
          <w:b/>
          <w:bCs/>
          <w:i/>
          <w:iCs/>
          <w:sz w:val="28"/>
          <w:szCs w:val="28"/>
          <w:u w:val="single"/>
        </w:rPr>
        <w:t>Section D:</w:t>
      </w:r>
      <w:r>
        <w:rPr>
          <w:b/>
          <w:bCs/>
          <w:i/>
          <w:iCs/>
          <w:sz w:val="28"/>
          <w:szCs w:val="28"/>
        </w:rPr>
        <w:tab/>
        <w:t>Weekly Regional</w:t>
      </w:r>
      <w:r>
        <w:rPr>
          <w:b/>
          <w:bCs/>
          <w:i/>
          <w:iCs/>
          <w:sz w:val="28"/>
          <w:szCs w:val="28"/>
          <w:u w:val="single"/>
        </w:rPr>
        <w:t xml:space="preserve"> Working Gas</w:t>
      </w:r>
      <w:r>
        <w:rPr/>
        <w:t xml:space="preserve"> Inventories and EOS Comparison</w:t>
      </w:r>
    </w:p>
    <w:tbl>
      <w:tblPr>
        <w:tblW w:w="10800" w:type="dxa"/>
        <w:jc w:val="start"/>
        <w:tblInd w:w="288" w:type="dxa"/>
        <w:tblLayout w:type="fixed"/>
        <w:tblCellMar>
          <w:top w:w="0" w:type="dxa"/>
          <w:start w:w="108" w:type="dxa"/>
          <w:bottom w:w="0" w:type="dxa"/>
          <w:end w:w="108" w:type="dxa"/>
        </w:tblCellMar>
      </w:tblPr>
      <w:tblGrid>
        <w:gridCol w:w="2160"/>
        <w:gridCol w:w="1080"/>
        <w:gridCol w:w="954"/>
        <w:gridCol w:w="1296"/>
        <w:gridCol w:w="1260"/>
        <w:gridCol w:w="1080"/>
        <w:gridCol w:w="990"/>
        <w:gridCol w:w="1080"/>
        <w:gridCol w:w="900"/>
      </w:tblGrid>
      <w:tr>
        <w:trPr/>
        <w:tc>
          <w:tcPr>
            <w:tcW w:w="10800" w:type="dxa"/>
            <w:gridSpan w:val="9"/>
            <w:tcBorders>
              <w:top w:val="single" w:sz="6" w:space="0" w:color="000000"/>
              <w:start w:val="single" w:sz="6" w:space="0" w:color="000000"/>
              <w:bottom w:val="single" w:sz="6" w:space="0" w:color="000000"/>
              <w:end w:val="single" w:sz="6" w:space="0" w:color="000000"/>
            </w:tcBorders>
          </w:tcPr>
          <w:p>
            <w:pPr>
              <w:pStyle w:val="Normal"/>
              <w:jc w:val="center"/>
              <w:rPr/>
            </w:pPr>
            <w:r>
              <w:rPr>
                <w:b/>
                <w:bCs/>
                <w:sz w:val="24"/>
                <w:szCs w:val="24"/>
              </w:rPr>
              <w:t>GasFax</w:t>
            </w:r>
            <w:r>
              <w:rPr>
                <w:b/>
                <w:bCs/>
              </w:rPr>
              <w:t>®</w:t>
            </w:r>
            <w:r>
              <w:rPr>
                <w:b/>
                <w:bCs/>
                <w:sz w:val="24"/>
                <w:szCs w:val="24"/>
              </w:rPr>
              <w:t xml:space="preserve"> Regional Weekly Working Gas Change and End Of Season Inventory Comparison</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rPr>
                <w:b/>
                <w:bCs/>
                <w:sz w:val="24"/>
                <w:szCs w:val="24"/>
              </w:rPr>
            </w:pPr>
            <w:r>
              <w:rPr>
                <w:b/>
                <w:bCs/>
                <w:sz w:val="24"/>
                <w:szCs w:val="24"/>
              </w:rPr>
            </w:r>
          </w:p>
        </w:tc>
        <w:tc>
          <w:tcPr>
            <w:tcW w:w="2034" w:type="dxa"/>
            <w:gridSpan w:val="2"/>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and Prior Week Inventories  BCF</w:t>
            </w:r>
          </w:p>
        </w:tc>
        <w:tc>
          <w:tcPr>
            <w:tcW w:w="2556" w:type="dxa"/>
            <w:gridSpan w:val="2"/>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End Of Season (EOS) Inventory Comparison</w:t>
            </w:r>
          </w:p>
        </w:tc>
        <w:tc>
          <w:tcPr>
            <w:tcW w:w="4050" w:type="dxa"/>
            <w:gridSpan w:val="4"/>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Average Change Needed To Meet EOS Inventory</w:t>
            </w:r>
          </w:p>
          <w:p>
            <w:pPr>
              <w:pStyle w:val="Normal"/>
              <w:rPr>
                <w:b/>
                <w:bCs/>
                <w:sz w:val="24"/>
                <w:szCs w:val="24"/>
              </w:rPr>
            </w:pPr>
            <w:r>
              <w:rPr>
                <w:b/>
                <w:bCs/>
                <w:sz w:val="24"/>
                <w:szCs w:val="24"/>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Weekly Ranking</w:t>
            </w:r>
          </w:p>
        </w:tc>
        <w:tc>
          <w:tcPr>
            <w:tcW w:w="108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Week</w:t>
            </w:r>
          </w:p>
        </w:tc>
        <w:tc>
          <w:tcPr>
            <w:tcW w:w="954"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Prior Week</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EOS Inventory</w:t>
            </w:r>
          </w:p>
          <w:p>
            <w:pPr>
              <w:pStyle w:val="Normal"/>
              <w:jc w:val="center"/>
              <w:rPr>
                <w:b/>
                <w:bCs/>
                <w:sz w:val="24"/>
                <w:szCs w:val="24"/>
              </w:rPr>
            </w:pPr>
            <w:r>
              <w:rPr>
                <w:b/>
                <w:bCs/>
                <w:sz w:val="24"/>
                <w:szCs w:val="24"/>
              </w:rPr>
              <w:t>BCF</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Current Inventory % of  EOS</w:t>
            </w:r>
          </w:p>
        </w:tc>
        <w:tc>
          <w:tcPr>
            <w:tcW w:w="108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BCFW</w:t>
            </w:r>
          </w:p>
        </w:tc>
        <w:tc>
          <w:tcPr>
            <w:tcW w:w="99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Prior BCFW</w:t>
            </w:r>
          </w:p>
        </w:tc>
        <w:tc>
          <w:tcPr>
            <w:tcW w:w="108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Current BCFD</w:t>
            </w:r>
          </w:p>
        </w:tc>
        <w:tc>
          <w:tcPr>
            <w:tcW w:w="90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Prior BCFD</w:t>
            </w:r>
          </w:p>
        </w:tc>
      </w:tr>
      <w:tr>
        <w:trPr/>
        <w:tc>
          <w:tcPr>
            <w:tcW w:w="2160" w:type="dxa"/>
            <w:tcBorders>
              <w:top w:val="single" w:sz="6" w:space="0" w:color="000000"/>
              <w:start w:val="single" w:sz="6" w:space="0" w:color="000000"/>
              <w:bottom w:val="dashed" w:sz="6" w:space="0" w:color="auto"/>
              <w:end w:val="single" w:sz="6" w:space="0" w:color="000000"/>
            </w:tcBorders>
          </w:tcPr>
          <w:p>
            <w:pPr>
              <w:pStyle w:val="Normal"/>
              <w:rPr>
                <w:b/>
                <w:bCs/>
                <w:sz w:val="24"/>
                <w:szCs w:val="24"/>
              </w:rPr>
            </w:pPr>
            <w:r>
              <w:rPr>
                <w:b/>
                <w:bCs/>
                <w:sz w:val="24"/>
                <w:szCs w:val="24"/>
              </w:rPr>
              <w:t>North America</w:t>
            </w:r>
          </w:p>
        </w:tc>
        <w:tc>
          <w:tcPr>
            <w:tcW w:w="108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2579</w:t>
            </w:r>
          </w:p>
        </w:tc>
        <w:tc>
          <w:tcPr>
            <w:tcW w:w="9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2489</w:t>
            </w:r>
          </w:p>
        </w:tc>
        <w:tc>
          <w:tcPr>
            <w:tcW w:w="129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3762</w:t>
            </w:r>
          </w:p>
        </w:tc>
        <w:tc>
          <w:tcPr>
            <w:tcW w:w="126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69</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69.3</w:t>
            </w:r>
          </w:p>
        </w:tc>
        <w:tc>
          <w:tcPr>
            <w:tcW w:w="99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70.7</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9.9</w:t>
            </w:r>
          </w:p>
        </w:tc>
        <w:tc>
          <w:tcPr>
            <w:tcW w:w="90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10.1</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United States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2349</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2265</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3458</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68</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65.1</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66.5</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9.3</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9.5</w:t>
            </w:r>
          </w:p>
        </w:tc>
      </w:tr>
      <w:tr>
        <w:trPr/>
        <w:tc>
          <w:tcPr>
            <w:tcW w:w="2160" w:type="dxa"/>
            <w:tcBorders>
              <w:top w:val="single" w:sz="6" w:space="0" w:color="000000"/>
              <w:start w:val="single" w:sz="6" w:space="0" w:color="000000"/>
              <w:bottom w:val="dashed" w:sz="6" w:space="0" w:color="auto"/>
              <w:end w:val="single" w:sz="6" w:space="0" w:color="000000"/>
            </w:tcBorders>
          </w:tcPr>
          <w:p>
            <w:pPr>
              <w:pStyle w:val="Heading2"/>
              <w:ind w:hanging="0" w:start="0"/>
              <w:rPr/>
            </w:pPr>
            <w:r>
              <w:rPr/>
              <w:t xml:space="preserve">Region 2 ENC </w:t>
            </w:r>
          </w:p>
        </w:tc>
        <w:tc>
          <w:tcPr>
            <w:tcW w:w="108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1041</w:t>
            </w:r>
          </w:p>
        </w:tc>
        <w:tc>
          <w:tcPr>
            <w:tcW w:w="9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1014</w:t>
            </w:r>
          </w:p>
        </w:tc>
        <w:tc>
          <w:tcPr>
            <w:tcW w:w="129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1480</w:t>
            </w:r>
          </w:p>
        </w:tc>
        <w:tc>
          <w:tcPr>
            <w:tcW w:w="126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70</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25.9</w:t>
            </w:r>
          </w:p>
        </w:tc>
        <w:tc>
          <w:tcPr>
            <w:tcW w:w="99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25.9</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3.7</w:t>
            </w:r>
          </w:p>
        </w:tc>
        <w:tc>
          <w:tcPr>
            <w:tcW w:w="90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3.7</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Region 1 NE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394</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367</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639</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62</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14.7</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15.4</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2.1</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2.2</w:t>
            </w:r>
          </w:p>
        </w:tc>
      </w:tr>
      <w:tr>
        <w:trPr/>
        <w:tc>
          <w:tcPr>
            <w:tcW w:w="2160" w:type="dxa"/>
            <w:tcBorders>
              <w:top w:val="dashed" w:sz="6" w:space="0" w:color="auto"/>
              <w:start w:val="single" w:sz="6" w:space="0" w:color="000000"/>
              <w:bottom w:val="dashed" w:sz="6" w:space="0" w:color="auto"/>
              <w:end w:val="single" w:sz="6" w:space="0" w:color="000000"/>
            </w:tcBorders>
          </w:tcPr>
          <w:p>
            <w:pPr>
              <w:pStyle w:val="Normal"/>
              <w:rPr>
                <w:b/>
                <w:bCs/>
                <w:sz w:val="24"/>
                <w:szCs w:val="24"/>
              </w:rPr>
            </w:pPr>
            <w:r>
              <w:rPr>
                <w:b/>
                <w:bCs/>
                <w:sz w:val="24"/>
                <w:szCs w:val="24"/>
              </w:rPr>
              <w:t>Region 5 SW</w:t>
            </w:r>
          </w:p>
        </w:tc>
        <w:tc>
          <w:tcPr>
            <w:tcW w:w="108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471</w:t>
            </w:r>
          </w:p>
        </w:tc>
        <w:tc>
          <w:tcPr>
            <w:tcW w:w="9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454</w:t>
            </w:r>
          </w:p>
        </w:tc>
        <w:tc>
          <w:tcPr>
            <w:tcW w:w="1296"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689</w:t>
            </w:r>
          </w:p>
        </w:tc>
        <w:tc>
          <w:tcPr>
            <w:tcW w:w="126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68</w:t>
            </w:r>
          </w:p>
        </w:tc>
        <w:tc>
          <w:tcPr>
            <w:tcW w:w="108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12.6</w:t>
            </w:r>
          </w:p>
        </w:tc>
        <w:tc>
          <w:tcPr>
            <w:tcW w:w="99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13.3</w:t>
            </w:r>
          </w:p>
        </w:tc>
        <w:tc>
          <w:tcPr>
            <w:tcW w:w="108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1.8</w:t>
            </w:r>
          </w:p>
        </w:tc>
        <w:tc>
          <w:tcPr>
            <w:tcW w:w="900" w:type="dxa"/>
            <w:tcBorders>
              <w:top w:val="dashed" w:sz="6" w:space="0" w:color="auto"/>
              <w:start w:val="single" w:sz="6" w:space="0" w:color="000000"/>
              <w:bottom w:val="dashed" w:sz="6" w:space="0" w:color="auto"/>
              <w:end w:val="single" w:sz="6" w:space="0" w:color="000000"/>
            </w:tcBorders>
          </w:tcPr>
          <w:p>
            <w:pPr>
              <w:pStyle w:val="Heading8"/>
              <w:ind w:hanging="0" w:start="0"/>
              <w:rPr/>
            </w:pPr>
            <w:r>
              <w:rPr/>
              <w:t>1.9</w:t>
            </w:r>
          </w:p>
        </w:tc>
      </w:tr>
      <w:tr>
        <w:trPr/>
        <w:tc>
          <w:tcPr>
            <w:tcW w:w="2160"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Region 3 WNC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128</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123</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390</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55</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6.3</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5.6</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0.9</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0.9</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Region 7 PAC</w:t>
            </w:r>
          </w:p>
        </w:tc>
        <w:tc>
          <w:tcPr>
            <w:tcW w:w="1080"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 xml:space="preserve">     </w:t>
            </w:r>
            <w:r>
              <w:rPr>
                <w:b/>
                <w:bCs/>
                <w:sz w:val="24"/>
                <w:szCs w:val="24"/>
              </w:rPr>
              <w:t>316</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308</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234</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81</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4.2</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6.3</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0.6</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0.7</w:t>
            </w:r>
          </w:p>
        </w:tc>
      </w:tr>
      <w:tr>
        <w:trPr/>
        <w:tc>
          <w:tcPr>
            <w:tcW w:w="2160" w:type="dxa"/>
            <w:tcBorders>
              <w:top w:val="single" w:sz="6" w:space="0" w:color="000000"/>
              <w:start w:val="single" w:sz="6" w:space="0" w:color="000000"/>
              <w:bottom w:val="dashed" w:sz="6" w:space="0" w:color="auto"/>
              <w:end w:val="single" w:sz="6" w:space="0" w:color="000000"/>
            </w:tcBorders>
          </w:tcPr>
          <w:p>
            <w:pPr>
              <w:pStyle w:val="Normal"/>
              <w:rPr>
                <w:b/>
                <w:bCs/>
                <w:sz w:val="24"/>
                <w:szCs w:val="24"/>
              </w:rPr>
            </w:pPr>
            <w:r>
              <w:rPr>
                <w:b/>
                <w:bCs/>
                <w:sz w:val="24"/>
                <w:szCs w:val="24"/>
              </w:rPr>
              <w:t>Region 6 MTN</w:t>
            </w:r>
          </w:p>
        </w:tc>
        <w:tc>
          <w:tcPr>
            <w:tcW w:w="108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111</w:t>
            </w:r>
          </w:p>
        </w:tc>
        <w:tc>
          <w:tcPr>
            <w:tcW w:w="9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107</w:t>
            </w:r>
          </w:p>
        </w:tc>
        <w:tc>
          <w:tcPr>
            <w:tcW w:w="129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168</w:t>
            </w:r>
          </w:p>
        </w:tc>
        <w:tc>
          <w:tcPr>
            <w:tcW w:w="126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66</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3.5</w:t>
            </w:r>
          </w:p>
        </w:tc>
        <w:tc>
          <w:tcPr>
            <w:tcW w:w="99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3.5</w:t>
            </w:r>
          </w:p>
        </w:tc>
        <w:tc>
          <w:tcPr>
            <w:tcW w:w="108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0.5</w:t>
            </w:r>
          </w:p>
        </w:tc>
        <w:tc>
          <w:tcPr>
            <w:tcW w:w="900" w:type="dxa"/>
            <w:tcBorders>
              <w:top w:val="single" w:sz="6" w:space="0" w:color="000000"/>
              <w:start w:val="single" w:sz="6" w:space="0" w:color="000000"/>
              <w:bottom w:val="dashed" w:sz="6" w:space="0" w:color="auto"/>
              <w:end w:val="single" w:sz="6" w:space="0" w:color="000000"/>
            </w:tcBorders>
          </w:tcPr>
          <w:p>
            <w:pPr>
              <w:pStyle w:val="Heading8"/>
              <w:ind w:hanging="0" w:start="0"/>
              <w:rPr/>
            </w:pPr>
            <w:r>
              <w:rPr/>
              <w:t>0.5</w:t>
            </w:r>
          </w:p>
        </w:tc>
      </w:tr>
      <w:tr>
        <w:trPr/>
        <w:tc>
          <w:tcPr>
            <w:tcW w:w="2160"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Region 4 SE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119</w:t>
            </w:r>
          </w:p>
        </w:tc>
        <w:tc>
          <w:tcPr>
            <w:tcW w:w="9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115</w:t>
            </w:r>
          </w:p>
        </w:tc>
        <w:tc>
          <w:tcPr>
            <w:tcW w:w="129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162</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73</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2.8</w:t>
            </w:r>
          </w:p>
        </w:tc>
        <w:tc>
          <w:tcPr>
            <w:tcW w:w="99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2.8</w:t>
            </w:r>
          </w:p>
        </w:tc>
        <w:tc>
          <w:tcPr>
            <w:tcW w:w="108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0.4</w:t>
            </w:r>
          </w:p>
        </w:tc>
        <w:tc>
          <w:tcPr>
            <w:tcW w:w="90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0.4</w:t>
            </w:r>
          </w:p>
        </w:tc>
      </w:tr>
    </w:tbl>
    <w:p>
      <w:pPr>
        <w:pStyle w:val="BodyText"/>
        <w:rPr>
          <w:sz w:val="28"/>
          <w:szCs w:val="28"/>
        </w:rPr>
      </w:pPr>
      <w:r>
        <w:rPr/>
        <w:tab/>
        <w:t xml:space="preserve">      Current week WG “needs” are somewhat different than GG because of the Base Gas that is included in the GG numbers. Theoretically they should be the same, but for lots of reasons they seem to differ, including reclassifications (formal or just temporary), operator guesstimates and so forth. This is why we don’t put a lot of emphasis on WG.</w:t>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sz w:val="28"/>
          <w:szCs w:val="28"/>
        </w:rPr>
      </w:pPr>
      <w:r>
        <w:rPr>
          <w:sz w:val="28"/>
          <w:szCs w:val="28"/>
        </w:rPr>
      </w:r>
    </w:p>
    <w:p>
      <w:pPr>
        <w:pStyle w:val="BodyText"/>
        <w:jc w:val="center"/>
        <w:rPr>
          <w:i/>
          <w:i/>
          <w:iCs/>
        </w:rPr>
      </w:pPr>
      <w:r>
        <w:rPr>
          <w:sz w:val="28"/>
          <w:szCs w:val="28"/>
        </w:rPr>
        <w:t>Table E</w:t>
      </w:r>
      <w:r>
        <w:rPr/>
        <w:t xml:space="preserve"> </w:t>
      </w:r>
    </w:p>
    <w:p>
      <w:pPr>
        <w:pStyle w:val="Heading1"/>
        <w:ind w:hanging="0" w:start="0"/>
        <w:jc w:val="center"/>
        <w:rPr/>
      </w:pPr>
      <w:r>
        <w:rPr/>
        <w:t>Canadian Alberta Border and Total Pipeline Exports</w:t>
      </w:r>
    </w:p>
    <w:tbl>
      <w:tblPr>
        <w:tblW w:w="9360" w:type="dxa"/>
        <w:jc w:val="start"/>
        <w:tblInd w:w="1008" w:type="dxa"/>
        <w:tblLayout w:type="fixed"/>
        <w:tblCellMar>
          <w:top w:w="0" w:type="dxa"/>
          <w:start w:w="108" w:type="dxa"/>
          <w:bottom w:w="0" w:type="dxa"/>
          <w:end w:w="108" w:type="dxa"/>
        </w:tblCellMar>
      </w:tblPr>
      <w:tblGrid>
        <w:gridCol w:w="2520"/>
        <w:gridCol w:w="754"/>
        <w:gridCol w:w="754"/>
        <w:gridCol w:w="1"/>
        <w:gridCol w:w="753"/>
        <w:gridCol w:w="754"/>
        <w:gridCol w:w="2"/>
        <w:gridCol w:w="1032"/>
        <w:gridCol w:w="900"/>
        <w:gridCol w:w="963"/>
        <w:gridCol w:w="927"/>
      </w:tblGrid>
      <w:tr>
        <w:trPr/>
        <w:tc>
          <w:tcPr>
            <w:tcW w:w="2520" w:type="dxa"/>
            <w:tcBorders>
              <w:top w:val="single" w:sz="24" w:space="0" w:color="000000"/>
              <w:start w:val="single" w:sz="24" w:space="0" w:color="000000"/>
              <w:bottom w:val="single" w:sz="6" w:space="0" w:color="000000"/>
              <w:end w:val="single" w:sz="6" w:space="0" w:color="000000"/>
            </w:tcBorders>
          </w:tcPr>
          <w:p>
            <w:pPr>
              <w:pStyle w:val="Normal"/>
              <w:jc w:val="center"/>
              <w:rPr/>
            </w:pPr>
            <w:r>
              <w:rPr>
                <w:b/>
                <w:bCs/>
                <w:i/>
                <w:iCs/>
                <w:sz w:val="24"/>
                <w:szCs w:val="24"/>
              </w:rPr>
              <w:t>Alberta</w:t>
            </w:r>
            <w:r>
              <w:rPr>
                <w:b/>
                <w:bCs/>
                <w:sz w:val="24"/>
                <w:szCs w:val="24"/>
              </w:rPr>
              <w:t xml:space="preserve"> Weekly </w:t>
            </w:r>
          </w:p>
          <w:p>
            <w:pPr>
              <w:pStyle w:val="Normal"/>
              <w:jc w:val="center"/>
              <w:rPr>
                <w:b/>
                <w:bCs/>
                <w:sz w:val="24"/>
                <w:szCs w:val="24"/>
              </w:rPr>
            </w:pPr>
            <w:r>
              <w:rPr>
                <w:b/>
                <w:bCs/>
                <w:sz w:val="24"/>
                <w:szCs w:val="24"/>
              </w:rPr>
              <w:t xml:space="preserve">Border Exports </w:t>
            </w:r>
          </w:p>
        </w:tc>
        <w:tc>
          <w:tcPr>
            <w:tcW w:w="1509" w:type="dxa"/>
            <w:gridSpan w:val="3"/>
            <w:tcBorders>
              <w:top w:val="single" w:sz="24"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Current</w:t>
            </w:r>
          </w:p>
          <w:p>
            <w:pPr>
              <w:pStyle w:val="Normal"/>
              <w:jc w:val="center"/>
              <w:rPr>
                <w:b/>
                <w:bCs/>
                <w:sz w:val="24"/>
                <w:szCs w:val="24"/>
              </w:rPr>
            </w:pPr>
            <w:r>
              <w:rPr>
                <w:b/>
                <w:bCs/>
                <w:sz w:val="24"/>
                <w:szCs w:val="24"/>
              </w:rPr>
              <w:t>Volume</w:t>
            </w:r>
          </w:p>
        </w:tc>
        <w:tc>
          <w:tcPr>
            <w:tcW w:w="1509" w:type="dxa"/>
            <w:gridSpan w:val="3"/>
            <w:tcBorders>
              <w:top w:val="single" w:sz="24"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Prior</w:t>
            </w:r>
          </w:p>
          <w:p>
            <w:pPr>
              <w:pStyle w:val="Normal"/>
              <w:jc w:val="center"/>
              <w:rPr>
                <w:b/>
                <w:bCs/>
                <w:sz w:val="24"/>
                <w:szCs w:val="24"/>
              </w:rPr>
            </w:pPr>
            <w:r>
              <w:rPr>
                <w:b/>
                <w:bCs/>
                <w:sz w:val="24"/>
                <w:szCs w:val="24"/>
              </w:rPr>
              <w:t>Volume</w:t>
            </w:r>
          </w:p>
        </w:tc>
        <w:tc>
          <w:tcPr>
            <w:tcW w:w="1932" w:type="dxa"/>
            <w:gridSpan w:val="2"/>
            <w:tcBorders>
              <w:top w:val="single" w:sz="24"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Current </w:t>
            </w:r>
          </w:p>
          <w:p>
            <w:pPr>
              <w:pStyle w:val="Normal"/>
              <w:jc w:val="center"/>
              <w:rPr>
                <w:b/>
                <w:bCs/>
                <w:sz w:val="24"/>
                <w:szCs w:val="24"/>
              </w:rPr>
            </w:pPr>
            <w:r>
              <w:rPr>
                <w:b/>
                <w:bCs/>
                <w:sz w:val="24"/>
                <w:szCs w:val="24"/>
              </w:rPr>
              <w:t>Per Cent</w:t>
            </w:r>
          </w:p>
        </w:tc>
        <w:tc>
          <w:tcPr>
            <w:tcW w:w="1890" w:type="dxa"/>
            <w:gridSpan w:val="2"/>
            <w:tcBorders>
              <w:top w:val="single" w:sz="24"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 xml:space="preserve">Prior </w:t>
            </w:r>
          </w:p>
          <w:p>
            <w:pPr>
              <w:pStyle w:val="Normal"/>
              <w:jc w:val="center"/>
              <w:rPr>
                <w:b/>
                <w:bCs/>
                <w:sz w:val="24"/>
                <w:szCs w:val="24"/>
              </w:rPr>
            </w:pPr>
            <w:r>
              <w:rPr>
                <w:b/>
                <w:bCs/>
                <w:sz w:val="24"/>
                <w:szCs w:val="24"/>
              </w:rPr>
              <w:t>Per Cent</w:t>
            </w:r>
          </w:p>
        </w:tc>
      </w:tr>
      <w:tr>
        <w:trPr/>
        <w:tc>
          <w:tcPr>
            <w:tcW w:w="2520" w:type="dxa"/>
            <w:tcBorders>
              <w:top w:val="single" w:sz="6" w:space="0" w:color="000000"/>
              <w:start w:val="single" w:sz="24" w:space="0" w:color="000000"/>
              <w:bottom w:val="dashed" w:sz="6" w:space="0" w:color="auto"/>
              <w:end w:val="single" w:sz="6" w:space="0" w:color="000000"/>
            </w:tcBorders>
          </w:tcPr>
          <w:p>
            <w:pPr>
              <w:pStyle w:val="Normal"/>
              <w:snapToGrid w:val="false"/>
              <w:rPr>
                <w:b/>
                <w:bCs/>
                <w:sz w:val="24"/>
                <w:szCs w:val="24"/>
              </w:rPr>
            </w:pPr>
            <w:r>
              <w:rPr>
                <w:b/>
                <w:bCs/>
                <w:sz w:val="24"/>
                <w:szCs w:val="24"/>
              </w:rPr>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75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103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Deliveries</w:t>
            </w:r>
          </w:p>
        </w:tc>
        <w:tc>
          <w:tcPr>
            <w:tcW w:w="90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Change</w:t>
            </w:r>
          </w:p>
        </w:tc>
        <w:tc>
          <w:tcPr>
            <w:tcW w:w="963"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Deliveries</w:t>
            </w:r>
          </w:p>
        </w:tc>
        <w:tc>
          <w:tcPr>
            <w:tcW w:w="927" w:type="dxa"/>
            <w:tcBorders>
              <w:top w:val="single" w:sz="6" w:space="0" w:color="000000"/>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 xml:space="preserve"> </w:t>
            </w:r>
            <w:r>
              <w:rPr>
                <w:b/>
                <w:bCs/>
                <w:sz w:val="16"/>
                <w:szCs w:val="16"/>
              </w:rPr>
              <w:t>Change</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Empress</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38.7</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9.7</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38.6</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5.5</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45.8</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0.3</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46.1</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4.0</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McNeill</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15.1</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14.9</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2.1</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17.9</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1.3</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17.8</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(0.7)</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ABC</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14.8</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14.9</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17.5</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(0.7)</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17.8</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(3.3)</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Net Other Borders</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0.2</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0.02</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0.1</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0.01</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0.2</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100.0</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0.1</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0.0</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Intra Prov + Storage</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15.5</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2.2</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15.1</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2.2</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18.3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2.7</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18.0</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4.1</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Net Storage Change</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7.9</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1.1</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7.3</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1.0</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9.3</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8.2</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8.7</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4.3</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Total Nova Delivery</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84.5</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12.1</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83.7</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12.0</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9.6</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100.0</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1.6</w:t>
            </w:r>
          </w:p>
        </w:tc>
      </w:tr>
      <w:tr>
        <w:trPr/>
        <w:tc>
          <w:tcPr>
            <w:tcW w:w="2520" w:type="dxa"/>
            <w:tcBorders>
              <w:top w:val="dashed" w:sz="6" w:space="0" w:color="auto"/>
              <w:start w:val="single" w:sz="24" w:space="0" w:color="000000"/>
              <w:bottom w:val="single" w:sz="6" w:space="0" w:color="000000"/>
              <w:end w:val="single" w:sz="6" w:space="0" w:color="000000"/>
            </w:tcBorders>
          </w:tcPr>
          <w:p>
            <w:pPr>
              <w:pStyle w:val="Normal"/>
              <w:rPr>
                <w:b/>
                <w:bCs/>
                <w:sz w:val="24"/>
                <w:szCs w:val="24"/>
              </w:rPr>
            </w:pPr>
            <w:r>
              <w:rPr>
                <w:b/>
                <w:bCs/>
                <w:sz w:val="24"/>
                <w:szCs w:val="24"/>
              </w:rPr>
              <w:t>Net Alberta Deliveries</w:t>
            </w:r>
          </w:p>
        </w:tc>
        <w:tc>
          <w:tcPr>
            <w:tcW w:w="754"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69.0</w:t>
            </w:r>
          </w:p>
        </w:tc>
        <w:tc>
          <w:tcPr>
            <w:tcW w:w="754"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9.9</w:t>
            </w:r>
          </w:p>
        </w:tc>
        <w:tc>
          <w:tcPr>
            <w:tcW w:w="754" w:type="dxa"/>
            <w:gridSpan w:val="2"/>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68.6</w:t>
            </w:r>
          </w:p>
        </w:tc>
        <w:tc>
          <w:tcPr>
            <w:tcW w:w="754"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9.8</w:t>
            </w:r>
          </w:p>
        </w:tc>
        <w:tc>
          <w:tcPr>
            <w:tcW w:w="1034" w:type="dxa"/>
            <w:gridSpan w:val="2"/>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81.7</w:t>
            </w:r>
          </w:p>
        </w:tc>
        <w:tc>
          <w:tcPr>
            <w:tcW w:w="900"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0.6</w:t>
            </w:r>
          </w:p>
        </w:tc>
        <w:tc>
          <w:tcPr>
            <w:tcW w:w="963" w:type="dxa"/>
            <w:tcBorders>
              <w:top w:val="dashed" w:sz="6" w:space="0" w:color="auto"/>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82.0</w:t>
            </w:r>
          </w:p>
        </w:tc>
        <w:tc>
          <w:tcPr>
            <w:tcW w:w="927" w:type="dxa"/>
            <w:tcBorders>
              <w:top w:val="dashed" w:sz="6" w:space="0" w:color="auto"/>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1.0</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jc w:val="center"/>
              <w:rPr/>
            </w:pPr>
            <w:r>
              <w:rPr>
                <w:b/>
                <w:bCs/>
                <w:i/>
                <w:iCs/>
                <w:sz w:val="24"/>
                <w:szCs w:val="24"/>
              </w:rPr>
              <w:t xml:space="preserve">Canadian </w:t>
            </w:r>
            <w:r>
              <w:rPr>
                <w:b/>
                <w:bCs/>
                <w:sz w:val="24"/>
                <w:szCs w:val="24"/>
              </w:rPr>
              <w:t>Weekly Exports to U.S.</w:t>
            </w:r>
          </w:p>
        </w:tc>
        <w:tc>
          <w:tcPr>
            <w:tcW w:w="1508"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Current </w:t>
            </w:r>
          </w:p>
          <w:p>
            <w:pPr>
              <w:pStyle w:val="Normal"/>
              <w:jc w:val="center"/>
              <w:rPr>
                <w:b/>
                <w:bCs/>
                <w:sz w:val="24"/>
                <w:szCs w:val="24"/>
              </w:rPr>
            </w:pPr>
            <w:r>
              <w:rPr>
                <w:b/>
                <w:bCs/>
                <w:sz w:val="24"/>
                <w:szCs w:val="24"/>
              </w:rPr>
              <w:t>Volume</w:t>
            </w:r>
          </w:p>
        </w:tc>
        <w:tc>
          <w:tcPr>
            <w:tcW w:w="1508" w:type="dxa"/>
            <w:gridSpan w:val="3"/>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Prior</w:t>
            </w:r>
          </w:p>
          <w:p>
            <w:pPr>
              <w:pStyle w:val="Normal"/>
              <w:jc w:val="center"/>
              <w:rPr>
                <w:b/>
                <w:bCs/>
                <w:sz w:val="24"/>
                <w:szCs w:val="24"/>
              </w:rPr>
            </w:pPr>
            <w:r>
              <w:rPr>
                <w:b/>
                <w:bCs/>
                <w:sz w:val="24"/>
                <w:szCs w:val="24"/>
              </w:rPr>
              <w:t>Volume</w:t>
            </w:r>
          </w:p>
        </w:tc>
        <w:tc>
          <w:tcPr>
            <w:tcW w:w="1934" w:type="dxa"/>
            <w:gridSpan w:val="3"/>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 xml:space="preserve">Current </w:t>
            </w:r>
          </w:p>
          <w:p>
            <w:pPr>
              <w:pStyle w:val="Normal"/>
              <w:jc w:val="center"/>
              <w:rPr>
                <w:b/>
                <w:bCs/>
                <w:sz w:val="24"/>
                <w:szCs w:val="24"/>
              </w:rPr>
            </w:pPr>
            <w:r>
              <w:rPr>
                <w:b/>
                <w:bCs/>
                <w:sz w:val="24"/>
                <w:szCs w:val="24"/>
              </w:rPr>
              <w:t>Per Cent</w:t>
            </w:r>
          </w:p>
        </w:tc>
        <w:tc>
          <w:tcPr>
            <w:tcW w:w="1890" w:type="dxa"/>
            <w:gridSpan w:val="2"/>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Prior</w:t>
            </w:r>
          </w:p>
          <w:p>
            <w:pPr>
              <w:pStyle w:val="Normal"/>
              <w:jc w:val="center"/>
              <w:rPr>
                <w:b/>
                <w:bCs/>
                <w:sz w:val="24"/>
                <w:szCs w:val="24"/>
              </w:rPr>
            </w:pPr>
            <w:r>
              <w:rPr>
                <w:b/>
                <w:bCs/>
                <w:sz w:val="24"/>
                <w:szCs w:val="24"/>
              </w:rPr>
              <w:t>Per Cent</w:t>
            </w:r>
          </w:p>
        </w:tc>
      </w:tr>
      <w:tr>
        <w:trPr/>
        <w:tc>
          <w:tcPr>
            <w:tcW w:w="2520" w:type="dxa"/>
            <w:tcBorders>
              <w:top w:val="single" w:sz="6" w:space="0" w:color="000000"/>
              <w:start w:val="single" w:sz="24" w:space="0" w:color="000000"/>
              <w:bottom w:val="dashed" w:sz="6" w:space="0" w:color="auto"/>
              <w:end w:val="single" w:sz="6" w:space="0" w:color="000000"/>
            </w:tcBorders>
          </w:tcPr>
          <w:p>
            <w:pPr>
              <w:pStyle w:val="Normal"/>
              <w:snapToGrid w:val="false"/>
              <w:rPr>
                <w:b/>
                <w:bCs/>
                <w:sz w:val="24"/>
                <w:szCs w:val="24"/>
              </w:rPr>
            </w:pPr>
            <w:r>
              <w:rPr>
                <w:b/>
                <w:bCs/>
                <w:sz w:val="24"/>
                <w:szCs w:val="24"/>
              </w:rPr>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75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BCFW</w:t>
            </w:r>
          </w:p>
        </w:tc>
        <w:tc>
          <w:tcPr>
            <w:tcW w:w="754"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BCFD</w:t>
            </w:r>
          </w:p>
        </w:tc>
        <w:tc>
          <w:tcPr>
            <w:tcW w:w="1034"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Exports</w:t>
            </w:r>
          </w:p>
        </w:tc>
        <w:tc>
          <w:tcPr>
            <w:tcW w:w="900"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Change</w:t>
            </w:r>
          </w:p>
        </w:tc>
        <w:tc>
          <w:tcPr>
            <w:tcW w:w="963"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16"/>
                <w:szCs w:val="16"/>
              </w:rPr>
              <w:t>Exports</w:t>
            </w:r>
          </w:p>
        </w:tc>
        <w:tc>
          <w:tcPr>
            <w:tcW w:w="927" w:type="dxa"/>
            <w:tcBorders>
              <w:top w:val="single" w:sz="6" w:space="0" w:color="000000"/>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 xml:space="preserve"> </w:t>
            </w:r>
            <w:r>
              <w:rPr>
                <w:b/>
                <w:bCs/>
                <w:sz w:val="16"/>
                <w:szCs w:val="16"/>
              </w:rPr>
              <w:t>Change</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Kingsgate BC (ABC)</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14.8</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14.9</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(0.7)</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20.5</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(3.3)</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Sumas (Huntingdon)</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6.4</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0.9</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5.4</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0.8</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8.7</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18.5</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7.4</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20.4</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Monchy SK (McNeill)</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15.1</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2.2</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14.9</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2.1</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1.3</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20.5</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(0.07)</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Emerson 1 &amp; 2 (Viking + GLTS)</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16.6</w:t>
            </w:r>
          </w:p>
          <w:p>
            <w:pPr>
              <w:pStyle w:val="Normal"/>
              <w:jc w:val="center"/>
              <w:rPr>
                <w:b/>
                <w:bCs/>
                <w:sz w:val="24"/>
                <w:szCs w:val="24"/>
              </w:rPr>
            </w:pPr>
            <w:r>
              <w:rPr>
                <w:b/>
                <w:bCs/>
                <w:sz w:val="24"/>
                <w:szCs w:val="24"/>
              </w:rPr>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2.4</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16.3</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2.3</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22.5</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1.8</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22.5</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5.2</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Niagra ON</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5.2</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0.7</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5.4</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0.8</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(3.7)</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7.4</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14.9</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Iroquois ON</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5.8</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0.8</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5.9</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0.8</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7.9</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(1.7)</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8.1</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7.3</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Other TCPL Ports: (Chippawa, etc)</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1.5</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0.2</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0.3</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(25.0)</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2.5</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11.1</w:t>
            </w:r>
          </w:p>
        </w:tc>
      </w:tr>
      <w:tr>
        <w:trPr/>
        <w:tc>
          <w:tcPr>
            <w:tcW w:w="2520" w:type="dxa"/>
            <w:tcBorders>
              <w:top w:val="dashed" w:sz="6" w:space="0" w:color="auto"/>
              <w:start w:val="single" w:sz="24" w:space="0" w:color="000000"/>
              <w:bottom w:val="dashed" w:sz="6" w:space="0" w:color="auto"/>
              <w:end w:val="single" w:sz="6" w:space="0" w:color="000000"/>
            </w:tcBorders>
          </w:tcPr>
          <w:p>
            <w:pPr>
              <w:pStyle w:val="Normal"/>
              <w:rPr>
                <w:b/>
                <w:bCs/>
                <w:sz w:val="24"/>
                <w:szCs w:val="24"/>
              </w:rPr>
            </w:pPr>
            <w:r>
              <w:rPr>
                <w:b/>
                <w:bCs/>
                <w:sz w:val="24"/>
                <w:szCs w:val="24"/>
              </w:rPr>
              <w:t>Sable Island (M&amp;NE)</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3.4</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0.5</w:t>
            </w:r>
          </w:p>
        </w:tc>
        <w:tc>
          <w:tcPr>
            <w:tcW w:w="75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2.8</w:t>
            </w:r>
          </w:p>
        </w:tc>
        <w:tc>
          <w:tcPr>
            <w:tcW w:w="754"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0.4</w:t>
            </w:r>
          </w:p>
        </w:tc>
        <w:tc>
          <w:tcPr>
            <w:tcW w:w="1034" w:type="dxa"/>
            <w:gridSpan w:val="2"/>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4.6</w:t>
            </w:r>
          </w:p>
        </w:tc>
        <w:tc>
          <w:tcPr>
            <w:tcW w:w="900"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21.4</w:t>
            </w:r>
          </w:p>
        </w:tc>
        <w:tc>
          <w:tcPr>
            <w:tcW w:w="963" w:type="dxa"/>
            <w:tcBorders>
              <w:top w:val="dashed" w:sz="6" w:space="0" w:color="auto"/>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3.9</w:t>
            </w:r>
          </w:p>
        </w:tc>
        <w:tc>
          <w:tcPr>
            <w:tcW w:w="927" w:type="dxa"/>
            <w:tcBorders>
              <w:top w:val="dashed" w:sz="6" w:space="0" w:color="auto"/>
              <w:start w:val="single" w:sz="6" w:space="0" w:color="000000"/>
              <w:bottom w:val="dashed" w:sz="6" w:space="0" w:color="auto"/>
              <w:end w:val="single" w:sz="24" w:space="0" w:color="000000"/>
            </w:tcBorders>
          </w:tcPr>
          <w:p>
            <w:pPr>
              <w:pStyle w:val="Normal"/>
              <w:jc w:val="center"/>
              <w:rPr>
                <w:b/>
                <w:bCs/>
                <w:sz w:val="24"/>
                <w:szCs w:val="24"/>
              </w:rPr>
            </w:pPr>
            <w:r>
              <w:rPr>
                <w:b/>
                <w:bCs/>
                <w:sz w:val="24"/>
                <w:szCs w:val="24"/>
              </w:rPr>
              <w:t>(17.6)</w:t>
            </w:r>
          </w:p>
        </w:tc>
      </w:tr>
      <w:tr>
        <w:trPr/>
        <w:tc>
          <w:tcPr>
            <w:tcW w:w="2520" w:type="dxa"/>
            <w:tcBorders>
              <w:top w:val="single" w:sz="6" w:space="0" w:color="000000"/>
              <w:start w:val="single" w:sz="24" w:space="0" w:color="000000"/>
              <w:bottom w:val="single" w:sz="6" w:space="0" w:color="000000"/>
              <w:end w:val="single" w:sz="6" w:space="0" w:color="000000"/>
            </w:tcBorders>
          </w:tcPr>
          <w:p>
            <w:pPr>
              <w:pStyle w:val="Normal"/>
              <w:rPr>
                <w:b/>
                <w:bCs/>
                <w:sz w:val="24"/>
                <w:szCs w:val="24"/>
              </w:rPr>
            </w:pPr>
            <w:r>
              <w:rPr>
                <w:b/>
                <w:bCs/>
                <w:sz w:val="24"/>
                <w:szCs w:val="24"/>
              </w:rPr>
              <w:t>Alliance PL Net to US</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5.1</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0.7</w:t>
            </w:r>
          </w:p>
        </w:tc>
        <w:tc>
          <w:tcPr>
            <w:tcW w:w="75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5.0</w:t>
            </w:r>
          </w:p>
        </w:tc>
        <w:tc>
          <w:tcPr>
            <w:tcW w:w="754"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0.7</w:t>
            </w:r>
          </w:p>
        </w:tc>
        <w:tc>
          <w:tcPr>
            <w:tcW w:w="1034"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6.9</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2.0</w:t>
            </w:r>
          </w:p>
        </w:tc>
        <w:tc>
          <w:tcPr>
            <w:tcW w:w="963"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6.9</w:t>
            </w:r>
          </w:p>
        </w:tc>
        <w:tc>
          <w:tcPr>
            <w:tcW w:w="927" w:type="dxa"/>
            <w:tcBorders>
              <w:top w:val="single" w:sz="6" w:space="0" w:color="000000"/>
              <w:start w:val="single" w:sz="6" w:space="0" w:color="000000"/>
              <w:bottom w:val="single" w:sz="6" w:space="0" w:color="000000"/>
              <w:end w:val="single" w:sz="24" w:space="0" w:color="000000"/>
            </w:tcBorders>
          </w:tcPr>
          <w:p>
            <w:pPr>
              <w:pStyle w:val="Normal"/>
              <w:jc w:val="center"/>
              <w:rPr>
                <w:b/>
                <w:bCs/>
                <w:sz w:val="24"/>
                <w:szCs w:val="24"/>
              </w:rPr>
            </w:pPr>
            <w:r>
              <w:rPr>
                <w:b/>
                <w:bCs/>
                <w:sz w:val="24"/>
                <w:szCs w:val="24"/>
              </w:rPr>
              <w:t>(2.0)</w:t>
            </w:r>
          </w:p>
        </w:tc>
      </w:tr>
      <w:tr>
        <w:trPr/>
        <w:tc>
          <w:tcPr>
            <w:tcW w:w="2520" w:type="dxa"/>
            <w:tcBorders>
              <w:top w:val="dashed" w:sz="6" w:space="0" w:color="auto"/>
              <w:start w:val="single" w:sz="24" w:space="0" w:color="000000"/>
              <w:bottom w:val="single" w:sz="24" w:space="0" w:color="000000"/>
              <w:end w:val="single" w:sz="6" w:space="0" w:color="000000"/>
            </w:tcBorders>
          </w:tcPr>
          <w:p>
            <w:pPr>
              <w:pStyle w:val="Normal"/>
              <w:rPr>
                <w:b/>
                <w:bCs/>
                <w:sz w:val="24"/>
                <w:szCs w:val="24"/>
              </w:rPr>
            </w:pPr>
            <w:r>
              <w:rPr>
                <w:b/>
                <w:bCs/>
                <w:sz w:val="24"/>
                <w:szCs w:val="24"/>
              </w:rPr>
              <w:t>Total Exports to U.S.</w:t>
            </w:r>
          </w:p>
        </w:tc>
        <w:tc>
          <w:tcPr>
            <w:tcW w:w="754"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73.9</w:t>
            </w:r>
          </w:p>
        </w:tc>
        <w:tc>
          <w:tcPr>
            <w:tcW w:w="754"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10.5</w:t>
            </w:r>
          </w:p>
        </w:tc>
        <w:tc>
          <w:tcPr>
            <w:tcW w:w="754" w:type="dxa"/>
            <w:gridSpan w:val="2"/>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72.6</w:t>
            </w:r>
          </w:p>
        </w:tc>
        <w:tc>
          <w:tcPr>
            <w:tcW w:w="754"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10.3</w:t>
            </w:r>
          </w:p>
        </w:tc>
        <w:tc>
          <w:tcPr>
            <w:tcW w:w="1034" w:type="dxa"/>
            <w:gridSpan w:val="2"/>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100.0</w:t>
            </w:r>
          </w:p>
        </w:tc>
        <w:tc>
          <w:tcPr>
            <w:tcW w:w="900"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1.8</w:t>
            </w:r>
          </w:p>
        </w:tc>
        <w:tc>
          <w:tcPr>
            <w:tcW w:w="963" w:type="dxa"/>
            <w:tcBorders>
              <w:top w:val="dashed" w:sz="6" w:space="0" w:color="auto"/>
              <w:start w:val="single" w:sz="6" w:space="0" w:color="000000"/>
              <w:bottom w:val="single" w:sz="24" w:space="0" w:color="000000"/>
              <w:end w:val="single" w:sz="6" w:space="0" w:color="000000"/>
            </w:tcBorders>
          </w:tcPr>
          <w:p>
            <w:pPr>
              <w:pStyle w:val="Normal"/>
              <w:jc w:val="center"/>
              <w:rPr>
                <w:b/>
                <w:bCs/>
                <w:sz w:val="24"/>
                <w:szCs w:val="24"/>
              </w:rPr>
            </w:pPr>
            <w:r>
              <w:rPr>
                <w:b/>
                <w:bCs/>
                <w:sz w:val="24"/>
                <w:szCs w:val="24"/>
              </w:rPr>
              <w:t>100.0</w:t>
            </w:r>
          </w:p>
        </w:tc>
        <w:tc>
          <w:tcPr>
            <w:tcW w:w="927" w:type="dxa"/>
            <w:tcBorders>
              <w:top w:val="dashed" w:sz="6" w:space="0" w:color="auto"/>
              <w:start w:val="single" w:sz="6" w:space="0" w:color="000000"/>
              <w:bottom w:val="single" w:sz="24" w:space="0" w:color="000000"/>
              <w:end w:val="single" w:sz="24" w:space="0" w:color="000000"/>
            </w:tcBorders>
          </w:tcPr>
          <w:p>
            <w:pPr>
              <w:pStyle w:val="Normal"/>
              <w:jc w:val="center"/>
              <w:rPr>
                <w:b/>
                <w:bCs/>
                <w:sz w:val="24"/>
                <w:szCs w:val="24"/>
              </w:rPr>
            </w:pPr>
            <w:r>
              <w:rPr>
                <w:b/>
                <w:bCs/>
                <w:sz w:val="24"/>
                <w:szCs w:val="24"/>
              </w:rPr>
              <w:t>1.8</w:t>
            </w:r>
          </w:p>
        </w:tc>
      </w:tr>
    </w:tbl>
    <w:p>
      <w:pPr>
        <w:pStyle w:val="Normal"/>
        <w:rPr/>
      </w:pPr>
      <w:r>
        <w:rPr/>
        <w:t>* Source: National Energy Board, Canada, TransCanada Pipelines, West Coast Energy</w:t>
      </w:r>
    </w:p>
    <w:p>
      <w:pPr>
        <w:pStyle w:val="Heading2"/>
        <w:ind w:firstLine="720" w:start="0" w:end="0"/>
        <w:rPr/>
      </w:pPr>
      <w:r>
        <w:rPr/>
        <w:tab/>
        <w:t>Alberta border deliveries had little change for the week (six tenths of a per cent gain), but net imports by the U.S. , including Alberta direct exports, were up 1.8% for the week. While Sable Island deliveries to Region 1 (NE) increased 21%, the TCPL major Region 1 (NE) deliveries via Niagra, Iroquois and Chippawa were down 800 MMCF from last week.  Since Sable Island was up 600 MMCF over last week, it suggests some displacement of Western Canadian gas by Atlantic provinces production.</w:t>
      </w:r>
    </w:p>
    <w:p>
      <w:pPr>
        <w:pStyle w:val="BodyText"/>
        <w:rPr/>
      </w:pPr>
      <w:r>
        <w:rPr/>
        <w:tab/>
        <w:t xml:space="preserve">Once again Peoples Gas Light and Nicor receipts from Alliance PL were over 33%  (1.8 BCFW) of dry gas deliveries net of Vector PL reshipments and Aux Sable shrinkage due to liquids removal.  There is every reason to believe this is ending up in Chicago storage, which goes a long way towrd explaining AGA weekly changes. </w:t>
      </w:r>
      <w:r>
        <w:br w:type="page"/>
      </w:r>
    </w:p>
    <w:p>
      <w:pPr>
        <w:pStyle w:val="BodyText"/>
        <w:rPr/>
      </w:pPr>
      <w:r>
        <w:rPr/>
      </w:r>
    </w:p>
    <w:p>
      <w:pPr>
        <w:pStyle w:val="Heading3"/>
        <w:ind w:hanging="0" w:start="0"/>
        <w:rPr>
          <w:i/>
          <w:i/>
          <w:iCs/>
        </w:rPr>
      </w:pPr>
      <w:r>
        <w:rPr/>
        <w:t>Table F</w:t>
      </w:r>
    </w:p>
    <w:p>
      <w:pPr>
        <w:pStyle w:val="Heading6"/>
        <w:ind w:hanging="0" w:start="0"/>
        <w:jc w:val="center"/>
        <w:rPr/>
      </w:pPr>
      <w:r>
        <w:rPr/>
        <w:t>Comparison of Current and Prior Year Weekly Changes</w:t>
      </w:r>
    </w:p>
    <w:tbl>
      <w:tblPr>
        <w:tblW w:w="8658" w:type="dxa"/>
        <w:jc w:val="start"/>
        <w:tblInd w:w="198" w:type="dxa"/>
        <w:tblLayout w:type="fixed"/>
        <w:tblCellMar>
          <w:top w:w="0" w:type="dxa"/>
          <w:start w:w="108" w:type="dxa"/>
          <w:bottom w:w="0" w:type="dxa"/>
          <w:end w:w="108" w:type="dxa"/>
        </w:tblCellMar>
      </w:tblPr>
      <w:tblGrid>
        <w:gridCol w:w="2754"/>
        <w:gridCol w:w="1476"/>
        <w:gridCol w:w="1476"/>
        <w:gridCol w:w="2952"/>
      </w:tblGrid>
      <w:tr>
        <w:trPr/>
        <w:tc>
          <w:tcPr>
            <w:tcW w:w="8658" w:type="dxa"/>
            <w:gridSpan w:val="4"/>
            <w:tcBorders>
              <w:top w:val="single" w:sz="18" w:space="0" w:color="000000"/>
              <w:start w:val="single" w:sz="18" w:space="0" w:color="000000"/>
              <w:bottom w:val="single" w:sz="6" w:space="0" w:color="000000"/>
              <w:end w:val="single" w:sz="18" w:space="0" w:color="000000"/>
            </w:tcBorders>
          </w:tcPr>
          <w:p>
            <w:pPr>
              <w:pStyle w:val="Normal"/>
              <w:jc w:val="center"/>
              <w:rPr>
                <w:b/>
                <w:bCs/>
                <w:sz w:val="24"/>
                <w:szCs w:val="24"/>
              </w:rPr>
            </w:pPr>
            <w:r>
              <w:rPr>
                <w:b/>
                <w:bCs/>
                <w:sz w:val="24"/>
                <w:szCs w:val="24"/>
              </w:rPr>
              <w:t>Comparison of Current and Prior Year Weekly Changes</w:t>
            </w:r>
          </w:p>
        </w:tc>
      </w:tr>
      <w:tr>
        <w:trPr/>
        <w:tc>
          <w:tcPr>
            <w:tcW w:w="2754" w:type="dxa"/>
            <w:tcBorders>
              <w:top w:val="single" w:sz="6" w:space="0" w:color="000000"/>
              <w:start w:val="single" w:sz="18" w:space="0" w:color="000000"/>
              <w:bottom w:val="dashed" w:sz="6" w:space="0" w:color="auto"/>
              <w:end w:val="single" w:sz="6" w:space="0" w:color="000000"/>
            </w:tcBorders>
          </w:tcPr>
          <w:p>
            <w:pPr>
              <w:pStyle w:val="Normal"/>
              <w:jc w:val="center"/>
              <w:rPr>
                <w:b/>
                <w:bCs/>
                <w:sz w:val="24"/>
                <w:szCs w:val="24"/>
              </w:rPr>
            </w:pPr>
            <w:r>
              <w:rPr>
                <w:b/>
                <w:bCs/>
                <w:sz w:val="24"/>
                <w:szCs w:val="24"/>
              </w:rPr>
              <w:t>U.S. Change</w:t>
            </w:r>
          </w:p>
        </w:tc>
        <w:tc>
          <w:tcPr>
            <w:tcW w:w="2952" w:type="dxa"/>
            <w:gridSpan w:val="2"/>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U.S. Change</w:t>
            </w:r>
          </w:p>
        </w:tc>
        <w:tc>
          <w:tcPr>
            <w:tcW w:w="2952" w:type="dxa"/>
            <w:tcBorders>
              <w:top w:val="single" w:sz="6" w:space="0" w:color="000000"/>
              <w:start w:val="single" w:sz="6" w:space="0" w:color="000000"/>
              <w:bottom w:val="dashed" w:sz="6" w:space="0" w:color="auto"/>
              <w:end w:val="single" w:sz="18" w:space="0" w:color="000000"/>
            </w:tcBorders>
          </w:tcPr>
          <w:p>
            <w:pPr>
              <w:pStyle w:val="Normal"/>
              <w:jc w:val="center"/>
              <w:rPr>
                <w:b/>
                <w:bCs/>
                <w:sz w:val="24"/>
                <w:szCs w:val="24"/>
              </w:rPr>
            </w:pPr>
            <w:r>
              <w:rPr>
                <w:b/>
                <w:bCs/>
                <w:sz w:val="24"/>
                <w:szCs w:val="24"/>
              </w:rPr>
              <w:t>Week Starting Gross Gas  Inventory</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snapToGrid w:val="false"/>
              <w:jc w:val="center"/>
              <w:rPr>
                <w:b/>
                <w:bCs/>
                <w:i/>
                <w:i/>
                <w:iCs/>
                <w:sz w:val="24"/>
                <w:szCs w:val="24"/>
              </w:rPr>
            </w:pPr>
            <w:r>
              <w:rPr>
                <w:b/>
                <w:bCs/>
                <w:i/>
                <w:iCs/>
                <w:sz w:val="24"/>
                <w:szCs w:val="24"/>
              </w:rPr>
            </w:r>
          </w:p>
        </w:tc>
        <w:tc>
          <w:tcPr>
            <w:tcW w:w="147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BCFW</w:t>
            </w:r>
          </w:p>
        </w:tc>
        <w:tc>
          <w:tcPr>
            <w:tcW w:w="1476"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BCFD</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BCF</w:t>
            </w:r>
          </w:p>
        </w:tc>
      </w:tr>
      <w:tr>
        <w:trPr/>
        <w:tc>
          <w:tcPr>
            <w:tcW w:w="2754" w:type="dxa"/>
            <w:tcBorders>
              <w:top w:val="single" w:sz="6" w:space="0" w:color="000000"/>
              <w:start w:val="single" w:sz="18" w:space="0" w:color="000000"/>
              <w:bottom w:val="dashed" w:sz="6" w:space="0" w:color="auto"/>
              <w:end w:val="single" w:sz="6" w:space="0" w:color="000000"/>
            </w:tcBorders>
          </w:tcPr>
          <w:p>
            <w:pPr>
              <w:pStyle w:val="Normal"/>
              <w:jc w:val="center"/>
              <w:rPr>
                <w:b/>
                <w:bCs/>
                <w:sz w:val="24"/>
                <w:szCs w:val="24"/>
              </w:rPr>
            </w:pPr>
            <w:r>
              <w:rPr>
                <w:b/>
                <w:bCs/>
                <w:sz w:val="24"/>
                <w:szCs w:val="24"/>
              </w:rPr>
              <w:t>Current Week 2001</w:t>
            </w:r>
          </w:p>
        </w:tc>
        <w:tc>
          <w:tcPr>
            <w:tcW w:w="147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84.1</w:t>
            </w:r>
          </w:p>
        </w:tc>
        <w:tc>
          <w:tcPr>
            <w:tcW w:w="1476" w:type="dxa"/>
            <w:tcBorders>
              <w:top w:val="single" w:sz="6" w:space="0" w:color="000000"/>
              <w:start w:val="single" w:sz="6" w:space="0" w:color="000000"/>
              <w:bottom w:val="dashed" w:sz="6" w:space="0" w:color="auto"/>
              <w:end w:val="single" w:sz="6" w:space="0" w:color="000000"/>
            </w:tcBorders>
          </w:tcPr>
          <w:p>
            <w:pPr>
              <w:pStyle w:val="Normal"/>
              <w:jc w:val="center"/>
              <w:rPr>
                <w:b/>
                <w:bCs/>
                <w:sz w:val="24"/>
                <w:szCs w:val="24"/>
              </w:rPr>
            </w:pPr>
            <w:r>
              <w:rPr>
                <w:b/>
                <w:bCs/>
                <w:sz w:val="24"/>
                <w:szCs w:val="24"/>
              </w:rPr>
              <w:t>12.0</w:t>
            </w:r>
          </w:p>
        </w:tc>
        <w:tc>
          <w:tcPr>
            <w:tcW w:w="2952" w:type="dxa"/>
            <w:tcBorders>
              <w:top w:val="single" w:sz="6" w:space="0" w:color="000000"/>
              <w:start w:val="single" w:sz="6" w:space="0" w:color="000000"/>
              <w:bottom w:val="dashed" w:sz="6" w:space="0" w:color="auto"/>
              <w:end w:val="single" w:sz="18" w:space="0" w:color="000000"/>
            </w:tcBorders>
          </w:tcPr>
          <w:p>
            <w:pPr>
              <w:pStyle w:val="Normal"/>
              <w:jc w:val="center"/>
              <w:rPr>
                <w:b/>
                <w:bCs/>
                <w:sz w:val="24"/>
                <w:szCs w:val="24"/>
              </w:rPr>
            </w:pPr>
            <w:r>
              <w:rPr>
                <w:b/>
                <w:bCs/>
                <w:sz w:val="24"/>
                <w:szCs w:val="24"/>
              </w:rPr>
              <w:t>6,072</w:t>
            </w:r>
          </w:p>
        </w:tc>
      </w:tr>
      <w:tr>
        <w:trPr/>
        <w:tc>
          <w:tcPr>
            <w:tcW w:w="2754" w:type="dxa"/>
            <w:tcBorders>
              <w:top w:val="single" w:sz="6" w:space="0" w:color="000000"/>
              <w:start w:val="single" w:sz="18" w:space="0" w:color="000000"/>
              <w:bottom w:val="single" w:sz="18" w:space="0" w:color="000000"/>
              <w:end w:val="single" w:sz="6" w:space="0" w:color="000000"/>
            </w:tcBorders>
          </w:tcPr>
          <w:p>
            <w:pPr>
              <w:pStyle w:val="Heading8"/>
              <w:ind w:hanging="0" w:start="0"/>
              <w:rPr/>
            </w:pPr>
            <w:r>
              <w:rPr/>
              <w:t>Year Ago 2000</w:t>
            </w:r>
          </w:p>
        </w:tc>
        <w:tc>
          <w:tcPr>
            <w:tcW w:w="1476" w:type="dxa"/>
            <w:tcBorders>
              <w:top w:val="single" w:sz="6" w:space="0" w:color="000000"/>
              <w:start w:val="single" w:sz="6" w:space="0" w:color="000000"/>
              <w:bottom w:val="single" w:sz="18" w:space="0" w:color="000000"/>
              <w:end w:val="single" w:sz="6" w:space="0" w:color="000000"/>
            </w:tcBorders>
          </w:tcPr>
          <w:p>
            <w:pPr>
              <w:pStyle w:val="Normal"/>
              <w:jc w:val="center"/>
              <w:rPr>
                <w:b/>
                <w:bCs/>
                <w:sz w:val="24"/>
                <w:szCs w:val="24"/>
              </w:rPr>
            </w:pPr>
            <w:r>
              <w:rPr>
                <w:b/>
                <w:bCs/>
                <w:sz w:val="24"/>
                <w:szCs w:val="24"/>
              </w:rPr>
              <w:t>67.0</w:t>
            </w:r>
          </w:p>
        </w:tc>
        <w:tc>
          <w:tcPr>
            <w:tcW w:w="1476" w:type="dxa"/>
            <w:tcBorders>
              <w:top w:val="single" w:sz="6" w:space="0" w:color="000000"/>
              <w:start w:val="single" w:sz="6" w:space="0" w:color="000000"/>
              <w:bottom w:val="single" w:sz="18" w:space="0" w:color="000000"/>
              <w:end w:val="single" w:sz="6" w:space="0" w:color="000000"/>
            </w:tcBorders>
          </w:tcPr>
          <w:p>
            <w:pPr>
              <w:pStyle w:val="Normal"/>
              <w:jc w:val="center"/>
              <w:rPr>
                <w:b/>
                <w:bCs/>
                <w:sz w:val="24"/>
                <w:szCs w:val="24"/>
              </w:rPr>
            </w:pPr>
            <w:r>
              <w:rPr>
                <w:b/>
                <w:bCs/>
                <w:sz w:val="24"/>
                <w:szCs w:val="24"/>
              </w:rPr>
              <w:t>9.6</w:t>
            </w:r>
          </w:p>
        </w:tc>
        <w:tc>
          <w:tcPr>
            <w:tcW w:w="2952" w:type="dxa"/>
            <w:tcBorders>
              <w:top w:val="single" w:sz="6" w:space="0" w:color="000000"/>
              <w:start w:val="single" w:sz="6" w:space="0" w:color="000000"/>
              <w:bottom w:val="single" w:sz="18" w:space="0" w:color="000000"/>
              <w:end w:val="single" w:sz="18" w:space="0" w:color="000000"/>
            </w:tcBorders>
          </w:tcPr>
          <w:p>
            <w:pPr>
              <w:pStyle w:val="Normal"/>
              <w:jc w:val="center"/>
              <w:rPr>
                <w:b/>
                <w:bCs/>
                <w:sz w:val="24"/>
                <w:szCs w:val="24"/>
              </w:rPr>
            </w:pPr>
            <w:r>
              <w:rPr>
                <w:b/>
                <w:bCs/>
                <w:sz w:val="24"/>
                <w:szCs w:val="24"/>
              </w:rPr>
              <w:t>6,404</w:t>
            </w:r>
          </w:p>
        </w:tc>
      </w:tr>
    </w:tbl>
    <w:p>
      <w:pPr>
        <w:pStyle w:val="BodyText"/>
        <w:rPr/>
      </w:pPr>
      <w:r>
        <w:rPr/>
        <w:tab/>
        <w:t>This week’s fill rate was 25% higher than last year’s at the same time, but inventories this year are 5.2% lower than last year, same time.</w:t>
      </w:r>
    </w:p>
    <w:p>
      <w:pPr>
        <w:pStyle w:val="Normal"/>
        <w:jc w:val="center"/>
        <w:rPr>
          <w:b/>
          <w:bCs/>
          <w:sz w:val="28"/>
          <w:szCs w:val="28"/>
        </w:rPr>
      </w:pPr>
      <w:r>
        <w:rPr>
          <w:b/>
          <w:bCs/>
          <w:sz w:val="28"/>
          <w:szCs w:val="28"/>
        </w:rPr>
      </w:r>
    </w:p>
    <w:p>
      <w:pPr>
        <w:pStyle w:val="Normal"/>
        <w:jc w:val="center"/>
        <w:rPr>
          <w:b/>
          <w:bCs/>
          <w:i/>
          <w:i/>
          <w:iCs/>
          <w:sz w:val="28"/>
          <w:szCs w:val="28"/>
          <w:u w:val="single"/>
        </w:rPr>
      </w:pPr>
      <w:r>
        <w:rPr>
          <w:b/>
          <w:bCs/>
          <w:sz w:val="28"/>
          <w:szCs w:val="28"/>
        </w:rPr>
        <w:t>Table G</w:t>
      </w:r>
    </w:p>
    <w:p>
      <w:pPr>
        <w:pStyle w:val="Normal"/>
        <w:jc w:val="center"/>
        <w:rPr>
          <w:b/>
          <w:bCs/>
          <w:i/>
          <w:i/>
          <w:iCs/>
          <w:sz w:val="28"/>
          <w:szCs w:val="28"/>
        </w:rPr>
      </w:pPr>
      <w:r>
        <w:rPr>
          <w:b/>
          <w:bCs/>
          <w:i/>
          <w:iCs/>
          <w:sz w:val="28"/>
          <w:szCs w:val="28"/>
        </w:rPr>
        <w:t>Weekly Change Factor as Per cent of Week's Starting Inventory</w:t>
      </w:r>
    </w:p>
    <w:tbl>
      <w:tblPr>
        <w:tblW w:w="8658" w:type="dxa"/>
        <w:jc w:val="start"/>
        <w:tblInd w:w="198" w:type="dxa"/>
        <w:tblLayout w:type="fixed"/>
        <w:tblCellMar>
          <w:top w:w="0" w:type="dxa"/>
          <w:start w:w="108" w:type="dxa"/>
          <w:bottom w:w="0" w:type="dxa"/>
          <w:end w:w="108" w:type="dxa"/>
        </w:tblCellMar>
      </w:tblPr>
      <w:tblGrid>
        <w:gridCol w:w="2754"/>
        <w:gridCol w:w="2952"/>
        <w:gridCol w:w="2952"/>
      </w:tblGrid>
      <w:tr>
        <w:trPr/>
        <w:tc>
          <w:tcPr>
            <w:tcW w:w="8658" w:type="dxa"/>
            <w:gridSpan w:val="3"/>
            <w:tcBorders>
              <w:top w:val="single" w:sz="18" w:space="0" w:color="000000"/>
              <w:start w:val="single" w:sz="18" w:space="0" w:color="000000"/>
              <w:bottom w:val="single" w:sz="6" w:space="0" w:color="000000"/>
              <w:end w:val="single" w:sz="18" w:space="0" w:color="000000"/>
            </w:tcBorders>
          </w:tcPr>
          <w:p>
            <w:pPr>
              <w:pStyle w:val="Normal"/>
              <w:jc w:val="center"/>
              <w:rPr>
                <w:b/>
                <w:bCs/>
                <w:sz w:val="24"/>
                <w:szCs w:val="24"/>
              </w:rPr>
            </w:pPr>
            <w:r>
              <w:rPr>
                <w:b/>
                <w:bCs/>
                <w:sz w:val="24"/>
                <w:szCs w:val="24"/>
              </w:rPr>
              <w:t xml:space="preserve">Weekly Regional Change Factor as Per Cent of Starting Inventory </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w:t>
            </w:r>
          </w:p>
        </w:tc>
        <w:tc>
          <w:tcPr>
            <w:tcW w:w="2952" w:type="dxa"/>
            <w:tcBorders>
              <w:top w:val="single" w:sz="6" w:space="0" w:color="000000"/>
              <w:start w:val="single" w:sz="6" w:space="0" w:color="000000"/>
              <w:bottom w:val="single" w:sz="6" w:space="0" w:color="000000"/>
              <w:end w:val="single" w:sz="6" w:space="0" w:color="000000"/>
            </w:tcBorders>
          </w:tcPr>
          <w:p>
            <w:pPr>
              <w:pStyle w:val="Normal"/>
              <w:rPr>
                <w:b/>
                <w:bCs/>
                <w:sz w:val="24"/>
                <w:szCs w:val="24"/>
              </w:rPr>
            </w:pPr>
            <w:r>
              <w:rPr>
                <w:b/>
                <w:bCs/>
                <w:sz w:val="24"/>
                <w:szCs w:val="24"/>
              </w:rPr>
              <w:t>% Change This Week</w:t>
            </w:r>
          </w:p>
        </w:tc>
        <w:tc>
          <w:tcPr>
            <w:tcW w:w="2952" w:type="dxa"/>
            <w:tcBorders>
              <w:top w:val="single" w:sz="6" w:space="0" w:color="000000"/>
              <w:start w:val="single" w:sz="6" w:space="0" w:color="000000"/>
              <w:bottom w:val="single" w:sz="6" w:space="0" w:color="000000"/>
              <w:end w:val="single" w:sz="18" w:space="0" w:color="000000"/>
            </w:tcBorders>
          </w:tcPr>
          <w:p>
            <w:pPr>
              <w:pStyle w:val="Normal"/>
              <w:rPr>
                <w:b/>
                <w:bCs/>
                <w:sz w:val="24"/>
                <w:szCs w:val="24"/>
              </w:rPr>
            </w:pPr>
            <w:r>
              <w:rPr>
                <w:b/>
                <w:bCs/>
                <w:sz w:val="24"/>
                <w:szCs w:val="24"/>
              </w:rPr>
              <w:t>% Change Last Week</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 xml:space="preserve">U.S. </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1.4</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1 NE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2.4</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3.0</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2 ENC</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1.5</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3 WNC</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1.0</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0.7</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4 SE</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1.2</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0.8</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5 SW</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1.4</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1.0</w:t>
            </w:r>
          </w:p>
        </w:tc>
      </w:tr>
      <w:tr>
        <w:trPr/>
        <w:tc>
          <w:tcPr>
            <w:tcW w:w="2754" w:type="dxa"/>
            <w:tcBorders>
              <w:top w:val="single" w:sz="6" w:space="0" w:color="000000"/>
              <w:start w:val="single" w:sz="18" w:space="0" w:color="000000"/>
              <w:bottom w:val="single" w:sz="6" w:space="0" w:color="000000"/>
              <w:end w:val="single" w:sz="6" w:space="0" w:color="000000"/>
            </w:tcBorders>
          </w:tcPr>
          <w:p>
            <w:pPr>
              <w:pStyle w:val="Normal"/>
              <w:jc w:val="center"/>
              <w:rPr>
                <w:b/>
                <w:bCs/>
                <w:sz w:val="24"/>
                <w:szCs w:val="24"/>
              </w:rPr>
            </w:pPr>
            <w:r>
              <w:rPr>
                <w:b/>
                <w:bCs/>
                <w:sz w:val="24"/>
                <w:szCs w:val="24"/>
              </w:rPr>
              <w:t>Region 6 MTN</w:t>
            </w:r>
          </w:p>
        </w:tc>
        <w:tc>
          <w:tcPr>
            <w:tcW w:w="2952" w:type="dxa"/>
            <w:tcBorders>
              <w:top w:val="single" w:sz="6" w:space="0" w:color="000000"/>
              <w:start w:val="single" w:sz="6" w:space="0" w:color="000000"/>
              <w:bottom w:val="single" w:sz="6" w:space="0" w:color="000000"/>
              <w:end w:val="single" w:sz="6" w:space="0" w:color="000000"/>
            </w:tcBorders>
          </w:tcPr>
          <w:p>
            <w:pPr>
              <w:pStyle w:val="Normal"/>
              <w:jc w:val="center"/>
              <w:rPr>
                <w:b/>
                <w:bCs/>
                <w:sz w:val="24"/>
                <w:szCs w:val="24"/>
              </w:rPr>
            </w:pPr>
            <w:r>
              <w:rPr>
                <w:b/>
                <w:bCs/>
                <w:sz w:val="24"/>
                <w:szCs w:val="24"/>
              </w:rPr>
              <w:t>0.8</w:t>
            </w:r>
          </w:p>
        </w:tc>
        <w:tc>
          <w:tcPr>
            <w:tcW w:w="2952" w:type="dxa"/>
            <w:tcBorders>
              <w:top w:val="single" w:sz="6" w:space="0" w:color="000000"/>
              <w:start w:val="single" w:sz="6" w:space="0" w:color="000000"/>
              <w:bottom w:val="single" w:sz="6" w:space="0" w:color="000000"/>
              <w:end w:val="single" w:sz="18" w:space="0" w:color="000000"/>
            </w:tcBorders>
          </w:tcPr>
          <w:p>
            <w:pPr>
              <w:pStyle w:val="Normal"/>
              <w:jc w:val="center"/>
              <w:rPr>
                <w:b/>
                <w:bCs/>
                <w:sz w:val="24"/>
                <w:szCs w:val="24"/>
              </w:rPr>
            </w:pPr>
            <w:r>
              <w:rPr>
                <w:b/>
                <w:bCs/>
                <w:sz w:val="24"/>
                <w:szCs w:val="24"/>
              </w:rPr>
              <w:t>0.5</w:t>
            </w:r>
          </w:p>
        </w:tc>
      </w:tr>
      <w:tr>
        <w:trPr/>
        <w:tc>
          <w:tcPr>
            <w:tcW w:w="2754" w:type="dxa"/>
            <w:tcBorders>
              <w:top w:val="single" w:sz="6" w:space="0" w:color="000000"/>
              <w:start w:val="single" w:sz="18" w:space="0" w:color="000000"/>
              <w:bottom w:val="single" w:sz="18" w:space="0" w:color="000000"/>
              <w:end w:val="single" w:sz="6" w:space="0" w:color="000000"/>
            </w:tcBorders>
          </w:tcPr>
          <w:p>
            <w:pPr>
              <w:pStyle w:val="Normal"/>
              <w:jc w:val="center"/>
              <w:rPr>
                <w:b/>
                <w:bCs/>
                <w:sz w:val="24"/>
                <w:szCs w:val="24"/>
              </w:rPr>
            </w:pPr>
            <w:r>
              <w:rPr>
                <w:b/>
                <w:bCs/>
                <w:sz w:val="24"/>
                <w:szCs w:val="24"/>
              </w:rPr>
              <w:t>Region 7 PAC</w:t>
            </w:r>
          </w:p>
        </w:tc>
        <w:tc>
          <w:tcPr>
            <w:tcW w:w="2952" w:type="dxa"/>
            <w:tcBorders>
              <w:top w:val="single" w:sz="6" w:space="0" w:color="000000"/>
              <w:start w:val="single" w:sz="6" w:space="0" w:color="000000"/>
              <w:bottom w:val="single" w:sz="18" w:space="0" w:color="000000"/>
              <w:end w:val="single" w:sz="6" w:space="0" w:color="000000"/>
            </w:tcBorders>
          </w:tcPr>
          <w:p>
            <w:pPr>
              <w:pStyle w:val="Normal"/>
              <w:jc w:val="center"/>
              <w:rPr>
                <w:b/>
                <w:bCs/>
                <w:sz w:val="24"/>
                <w:szCs w:val="24"/>
              </w:rPr>
            </w:pPr>
            <w:r>
              <w:rPr>
                <w:b/>
                <w:bCs/>
                <w:sz w:val="24"/>
                <w:szCs w:val="24"/>
              </w:rPr>
              <w:t>1.1</w:t>
            </w:r>
          </w:p>
        </w:tc>
        <w:tc>
          <w:tcPr>
            <w:tcW w:w="2952" w:type="dxa"/>
            <w:tcBorders>
              <w:top w:val="single" w:sz="6" w:space="0" w:color="000000"/>
              <w:start w:val="single" w:sz="6" w:space="0" w:color="000000"/>
              <w:bottom w:val="single" w:sz="18" w:space="0" w:color="000000"/>
              <w:end w:val="single" w:sz="18" w:space="0" w:color="000000"/>
            </w:tcBorders>
          </w:tcPr>
          <w:p>
            <w:pPr>
              <w:pStyle w:val="Normal"/>
              <w:jc w:val="center"/>
              <w:rPr>
                <w:b/>
                <w:bCs/>
                <w:sz w:val="24"/>
                <w:szCs w:val="24"/>
              </w:rPr>
            </w:pPr>
            <w:r>
              <w:rPr>
                <w:b/>
                <w:bCs/>
                <w:sz w:val="24"/>
                <w:szCs w:val="24"/>
              </w:rPr>
              <w:t>0.7</w:t>
            </w:r>
          </w:p>
        </w:tc>
      </w:tr>
    </w:tbl>
    <w:p>
      <w:pPr>
        <w:pStyle w:val="BodyText"/>
        <w:jc w:val="center"/>
        <w:rPr>
          <w:sz w:val="28"/>
          <w:szCs w:val="28"/>
        </w:rPr>
      </w:pPr>
      <w:r>
        <w:rPr>
          <w:sz w:val="28"/>
          <w:szCs w:val="28"/>
        </w:rPr>
      </w:r>
    </w:p>
    <w:p>
      <w:pPr>
        <w:pStyle w:val="BodyText"/>
        <w:jc w:val="center"/>
        <w:rPr>
          <w:sz w:val="28"/>
          <w:szCs w:val="28"/>
        </w:rPr>
      </w:pPr>
      <w:r>
        <w:rPr>
          <w:sz w:val="28"/>
          <w:szCs w:val="28"/>
        </w:rPr>
        <w:t>Table H</w:t>
      </w:r>
    </w:p>
    <w:p>
      <w:pPr>
        <w:pStyle w:val="BodyText"/>
        <w:jc w:val="center"/>
        <w:rPr/>
      </w:pPr>
      <w:r>
        <w:rPr/>
        <w:t>Imputed Industrial Natural Gas Demand</w:t>
      </w:r>
    </w:p>
    <w:tbl>
      <w:tblPr>
        <w:tblW w:w="11016" w:type="dxa"/>
        <w:jc w:val="start"/>
        <w:tblInd w:w="0" w:type="dxa"/>
        <w:tblLayout w:type="fixed"/>
        <w:tblCellMar>
          <w:top w:w="0" w:type="dxa"/>
          <w:start w:w="108" w:type="dxa"/>
          <w:bottom w:w="0" w:type="dxa"/>
          <w:end w:w="108" w:type="dxa"/>
        </w:tblCellMar>
      </w:tblPr>
      <w:tblGrid>
        <w:gridCol w:w="2754"/>
        <w:gridCol w:w="2754"/>
        <w:gridCol w:w="1170"/>
        <w:gridCol w:w="900"/>
        <w:gridCol w:w="1620"/>
        <w:gridCol w:w="1817"/>
        <w:gridCol w:w="1"/>
      </w:tblGrid>
      <w:tr>
        <w:trPr/>
        <w:tc>
          <w:tcPr>
            <w:tcW w:w="11016" w:type="dxa"/>
            <w:gridSpan w:val="6"/>
            <w:tcBorders>
              <w:top w:val="single" w:sz="12" w:space="0" w:color="000000"/>
              <w:start w:val="single" w:sz="12" w:space="0" w:color="000000"/>
              <w:bottom w:val="single" w:sz="6" w:space="0" w:color="000000"/>
              <w:end w:val="single" w:sz="12" w:space="0" w:color="000000"/>
            </w:tcBorders>
          </w:tcPr>
          <w:p>
            <w:pPr>
              <w:pStyle w:val="BodyText"/>
              <w:jc w:val="center"/>
              <w:rPr>
                <w:i/>
                <w:i/>
                <w:iCs/>
                <w:sz w:val="28"/>
                <w:szCs w:val="28"/>
              </w:rPr>
            </w:pPr>
            <w:r>
              <w:rPr>
                <w:sz w:val="28"/>
                <w:szCs w:val="28"/>
              </w:rPr>
              <w:t>Direct Gas Use in Selected Product Manufacturing</w:t>
            </w:r>
          </w:p>
        </w:tc>
      </w:tr>
      <w:tr>
        <w:trPr/>
        <w:tc>
          <w:tcPr>
            <w:tcW w:w="2754" w:type="dxa"/>
            <w:tcBorders>
              <w:top w:val="dashed" w:sz="6" w:space="0" w:color="auto"/>
              <w:start w:val="single" w:sz="12" w:space="0" w:color="000000"/>
              <w:bottom w:val="dashed" w:sz="6" w:space="0" w:color="auto"/>
              <w:end w:val="single" w:sz="6" w:space="0" w:color="000000"/>
            </w:tcBorders>
          </w:tcPr>
          <w:p>
            <w:pPr>
              <w:pStyle w:val="BodyText"/>
              <w:snapToGrid w:val="false"/>
              <w:jc w:val="center"/>
              <w:rPr>
                <w:i/>
                <w:i/>
                <w:iCs/>
                <w:sz w:val="28"/>
                <w:szCs w:val="28"/>
              </w:rPr>
            </w:pPr>
            <w:r>
              <w:rPr>
                <w:i/>
                <w:iCs/>
                <w:sz w:val="28"/>
                <w:szCs w:val="28"/>
              </w:rPr>
            </w:r>
          </w:p>
          <w:p>
            <w:pPr>
              <w:pStyle w:val="BodyText"/>
              <w:jc w:val="center"/>
              <w:rPr>
                <w:i/>
                <w:i/>
                <w:iCs/>
                <w:sz w:val="28"/>
                <w:szCs w:val="28"/>
              </w:rPr>
            </w:pPr>
            <w:r>
              <w:rPr>
                <w:sz w:val="28"/>
                <w:szCs w:val="28"/>
              </w:rPr>
              <w:t>Industry</w:t>
            </w:r>
          </w:p>
        </w:tc>
        <w:tc>
          <w:tcPr>
            <w:tcW w:w="2754" w:type="dxa"/>
            <w:tcBorders>
              <w:top w:val="dashed" w:sz="6" w:space="0" w:color="auto"/>
              <w:start w:val="single" w:sz="6" w:space="0" w:color="000000"/>
              <w:bottom w:val="dashed" w:sz="6" w:space="0" w:color="auto"/>
              <w:end w:val="single" w:sz="6" w:space="0" w:color="000000"/>
            </w:tcBorders>
          </w:tcPr>
          <w:p>
            <w:pPr>
              <w:pStyle w:val="BodyText"/>
              <w:snapToGrid w:val="false"/>
              <w:jc w:val="center"/>
              <w:rPr>
                <w:i/>
                <w:i/>
                <w:iCs/>
                <w:sz w:val="28"/>
                <w:szCs w:val="28"/>
              </w:rPr>
            </w:pPr>
            <w:r>
              <w:rPr>
                <w:i/>
                <w:iCs/>
                <w:sz w:val="28"/>
                <w:szCs w:val="28"/>
              </w:rPr>
            </w:r>
          </w:p>
          <w:p>
            <w:pPr>
              <w:pStyle w:val="BodyText"/>
              <w:jc w:val="center"/>
              <w:rPr>
                <w:sz w:val="28"/>
                <w:szCs w:val="28"/>
              </w:rPr>
            </w:pPr>
            <w:r>
              <w:rPr>
                <w:sz w:val="28"/>
                <w:szCs w:val="28"/>
              </w:rPr>
              <w:t>Gas Application</w:t>
            </w:r>
          </w:p>
        </w:tc>
        <w:tc>
          <w:tcPr>
            <w:tcW w:w="1170" w:type="dxa"/>
            <w:tcBorders>
              <w:top w:val="dashed" w:sz="6" w:space="0" w:color="auto"/>
              <w:start w:val="single" w:sz="6" w:space="0" w:color="000000"/>
              <w:bottom w:val="dashed" w:sz="6" w:space="0" w:color="auto"/>
              <w:end w:val="single" w:sz="6" w:space="0" w:color="000000"/>
            </w:tcBorders>
          </w:tcPr>
          <w:p>
            <w:pPr>
              <w:pStyle w:val="BodyText"/>
              <w:jc w:val="center"/>
              <w:rPr>
                <w:sz w:val="28"/>
                <w:szCs w:val="28"/>
              </w:rPr>
            </w:pPr>
            <w:r>
              <w:rPr>
                <w:sz w:val="28"/>
                <w:szCs w:val="28"/>
              </w:rPr>
              <w:t xml:space="preserve">NASIC </w:t>
            </w:r>
          </w:p>
          <w:p>
            <w:pPr>
              <w:pStyle w:val="BodyText"/>
              <w:jc w:val="center"/>
              <w:rPr>
                <w:sz w:val="28"/>
                <w:szCs w:val="28"/>
              </w:rPr>
            </w:pPr>
            <w:r>
              <w:rPr>
                <w:sz w:val="28"/>
                <w:szCs w:val="28"/>
              </w:rPr>
              <w:t>CODE</w:t>
            </w:r>
          </w:p>
        </w:tc>
        <w:tc>
          <w:tcPr>
            <w:tcW w:w="900" w:type="dxa"/>
            <w:tcBorders>
              <w:top w:val="dashed" w:sz="6" w:space="0" w:color="auto"/>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p>
            <w:pPr>
              <w:pStyle w:val="BodyText"/>
              <w:jc w:val="center"/>
              <w:rPr>
                <w:sz w:val="28"/>
                <w:szCs w:val="28"/>
              </w:rPr>
            </w:pPr>
            <w:r>
              <w:rPr>
                <w:sz w:val="28"/>
                <w:szCs w:val="28"/>
              </w:rPr>
              <w:t>Units</w:t>
            </w:r>
          </w:p>
        </w:tc>
        <w:tc>
          <w:tcPr>
            <w:tcW w:w="1620" w:type="dxa"/>
            <w:tcBorders>
              <w:top w:val="dashed" w:sz="6" w:space="0" w:color="auto"/>
              <w:start w:val="single" w:sz="6" w:space="0" w:color="000000"/>
              <w:bottom w:val="dashed" w:sz="6" w:space="0" w:color="auto"/>
              <w:end w:val="single" w:sz="6" w:space="0" w:color="000000"/>
            </w:tcBorders>
          </w:tcPr>
          <w:p>
            <w:pPr>
              <w:pStyle w:val="BodyText"/>
              <w:jc w:val="center"/>
              <w:rPr>
                <w:sz w:val="28"/>
                <w:szCs w:val="28"/>
              </w:rPr>
            </w:pPr>
            <w:r>
              <w:rPr>
                <w:sz w:val="28"/>
                <w:szCs w:val="28"/>
              </w:rPr>
              <w:t>Reported Production</w:t>
            </w:r>
          </w:p>
        </w:tc>
        <w:tc>
          <w:tcPr>
            <w:tcW w:w="1817" w:type="dxa"/>
            <w:tcBorders>
              <w:top w:val="dashed" w:sz="6" w:space="0" w:color="auto"/>
              <w:start w:val="single" w:sz="6" w:space="0" w:color="000000"/>
              <w:bottom w:val="dashed" w:sz="6" w:space="0" w:color="auto"/>
              <w:end w:val="single" w:sz="12" w:space="0" w:color="000000"/>
            </w:tcBorders>
          </w:tcPr>
          <w:p>
            <w:pPr>
              <w:pStyle w:val="BodyText"/>
              <w:jc w:val="center"/>
              <w:rPr>
                <w:sz w:val="28"/>
                <w:szCs w:val="28"/>
              </w:rPr>
            </w:pPr>
            <w:r>
              <w:rPr>
                <w:sz w:val="28"/>
                <w:szCs w:val="28"/>
              </w:rPr>
              <w:t>Imputed Gas Use BCFM</w:t>
            </w:r>
          </w:p>
        </w:tc>
      </w:tr>
      <w:tr>
        <w:trPr/>
        <w:tc>
          <w:tcPr>
            <w:tcW w:w="2754" w:type="dxa"/>
            <w:tcBorders>
              <w:top w:val="single" w:sz="6" w:space="0" w:color="000000"/>
              <w:start w:val="single" w:sz="12" w:space="0" w:color="000000"/>
              <w:bottom w:val="single" w:sz="6" w:space="0" w:color="000000"/>
              <w:end w:val="single" w:sz="6" w:space="0" w:color="000000"/>
            </w:tcBorders>
          </w:tcPr>
          <w:p>
            <w:pPr>
              <w:pStyle w:val="BodyText"/>
              <w:jc w:val="center"/>
              <w:rPr>
                <w:sz w:val="28"/>
                <w:szCs w:val="28"/>
              </w:rPr>
            </w:pPr>
            <w:r>
              <w:rPr>
                <w:sz w:val="28"/>
                <w:szCs w:val="28"/>
              </w:rPr>
              <w:t>Petroleum Refining</w:t>
            </w:r>
          </w:p>
        </w:tc>
        <w:tc>
          <w:tcPr>
            <w:tcW w:w="2754" w:type="dxa"/>
            <w:tcBorders>
              <w:top w:val="single" w:sz="6" w:space="0" w:color="000000"/>
              <w:start w:val="single" w:sz="6" w:space="0" w:color="000000"/>
              <w:bottom w:val="single" w:sz="6" w:space="0" w:color="000000"/>
              <w:end w:val="single" w:sz="6" w:space="0" w:color="000000"/>
            </w:tcBorders>
          </w:tcPr>
          <w:p>
            <w:pPr>
              <w:pStyle w:val="BodyText"/>
              <w:jc w:val="center"/>
              <w:rPr>
                <w:sz w:val="28"/>
                <w:szCs w:val="28"/>
              </w:rPr>
            </w:pPr>
            <w:r>
              <w:rPr>
                <w:sz w:val="28"/>
                <w:szCs w:val="28"/>
              </w:rPr>
              <w:t>Process Heat</w:t>
            </w:r>
          </w:p>
        </w:tc>
        <w:tc>
          <w:tcPr>
            <w:tcW w:w="1170" w:type="dxa"/>
            <w:tcBorders>
              <w:top w:val="single" w:sz="6" w:space="0" w:color="000000"/>
              <w:start w:val="single" w:sz="6" w:space="0" w:color="000000"/>
              <w:bottom w:val="single" w:sz="6" w:space="0" w:color="000000"/>
              <w:end w:val="single" w:sz="6" w:space="0" w:color="000000"/>
            </w:tcBorders>
          </w:tcPr>
          <w:p>
            <w:pPr>
              <w:pStyle w:val="BodyText"/>
              <w:jc w:val="center"/>
              <w:rPr>
                <w:sz w:val="28"/>
                <w:szCs w:val="28"/>
              </w:rPr>
            </w:pPr>
            <w:r>
              <w:rPr>
                <w:sz w:val="28"/>
                <w:szCs w:val="28"/>
              </w:rPr>
              <w:t>4227</w:t>
            </w:r>
          </w:p>
        </w:tc>
        <w:tc>
          <w:tcPr>
            <w:tcW w:w="900" w:type="dxa"/>
            <w:tcBorders>
              <w:top w:val="single" w:sz="6" w:space="0" w:color="000000"/>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620" w:type="dxa"/>
            <w:tcBorders>
              <w:top w:val="single" w:sz="6" w:space="0" w:color="000000"/>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817" w:type="dxa"/>
            <w:tcBorders>
              <w:top w:val="single" w:sz="6" w:space="0" w:color="000000"/>
              <w:start w:val="single" w:sz="6" w:space="0" w:color="000000"/>
              <w:bottom w:val="single" w:sz="6" w:space="0" w:color="000000"/>
              <w:end w:val="single" w:sz="12" w:space="0" w:color="000000"/>
            </w:tcBorders>
          </w:tcPr>
          <w:p>
            <w:pPr>
              <w:pStyle w:val="BodyText"/>
              <w:snapToGrid w:val="false"/>
              <w:jc w:val="center"/>
              <w:rPr>
                <w:sz w:val="28"/>
                <w:szCs w:val="28"/>
              </w:rPr>
            </w:pPr>
            <w:r>
              <w:rPr>
                <w:sz w:val="28"/>
                <w:szCs w:val="28"/>
              </w:rPr>
            </w:r>
          </w:p>
        </w:tc>
      </w:tr>
      <w:tr>
        <w:trPr/>
        <w:tc>
          <w:tcPr>
            <w:tcW w:w="2754" w:type="dxa"/>
            <w:tcBorders>
              <w:top w:val="dashed" w:sz="6" w:space="0" w:color="auto"/>
              <w:start w:val="single" w:sz="12" w:space="0" w:color="000000"/>
              <w:bottom w:val="dashed" w:sz="6" w:space="0" w:color="auto"/>
              <w:end w:val="single" w:sz="6" w:space="0" w:color="000000"/>
            </w:tcBorders>
          </w:tcPr>
          <w:p>
            <w:pPr>
              <w:pStyle w:val="BodyText"/>
              <w:jc w:val="center"/>
              <w:rPr>
                <w:sz w:val="28"/>
                <w:szCs w:val="28"/>
              </w:rPr>
            </w:pPr>
            <w:r>
              <w:rPr>
                <w:sz w:val="28"/>
                <w:szCs w:val="28"/>
              </w:rPr>
              <w:t>Ethylene</w:t>
            </w:r>
          </w:p>
        </w:tc>
        <w:tc>
          <w:tcPr>
            <w:tcW w:w="2754" w:type="dxa"/>
            <w:tcBorders>
              <w:top w:val="dashed" w:sz="6" w:space="0" w:color="auto"/>
              <w:start w:val="single" w:sz="6" w:space="0" w:color="000000"/>
              <w:bottom w:val="dashed" w:sz="6" w:space="0" w:color="auto"/>
              <w:end w:val="single" w:sz="6" w:space="0" w:color="000000"/>
            </w:tcBorders>
          </w:tcPr>
          <w:p>
            <w:pPr>
              <w:pStyle w:val="BodyText"/>
              <w:jc w:val="center"/>
              <w:rPr>
                <w:sz w:val="28"/>
                <w:szCs w:val="28"/>
              </w:rPr>
            </w:pPr>
            <w:r>
              <w:rPr>
                <w:sz w:val="28"/>
                <w:szCs w:val="28"/>
              </w:rPr>
              <w:t>Furnace Heat</w:t>
            </w:r>
          </w:p>
        </w:tc>
        <w:tc>
          <w:tcPr>
            <w:tcW w:w="1170" w:type="dxa"/>
            <w:tcBorders>
              <w:top w:val="dashed" w:sz="6" w:space="0" w:color="auto"/>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900" w:type="dxa"/>
            <w:tcBorders>
              <w:top w:val="dashed" w:sz="6" w:space="0" w:color="auto"/>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1620" w:type="dxa"/>
            <w:tcBorders>
              <w:top w:val="dashed" w:sz="6" w:space="0" w:color="auto"/>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1817" w:type="dxa"/>
            <w:tcBorders>
              <w:top w:val="dashed" w:sz="6" w:space="0" w:color="auto"/>
              <w:start w:val="single" w:sz="6" w:space="0" w:color="000000"/>
              <w:bottom w:val="dashed" w:sz="6" w:space="0" w:color="auto"/>
              <w:end w:val="single" w:sz="12" w:space="0" w:color="000000"/>
            </w:tcBorders>
          </w:tcPr>
          <w:p>
            <w:pPr>
              <w:pStyle w:val="BodyText"/>
              <w:snapToGrid w:val="false"/>
              <w:jc w:val="center"/>
              <w:rPr>
                <w:sz w:val="28"/>
                <w:szCs w:val="28"/>
              </w:rPr>
            </w:pPr>
            <w:r>
              <w:rPr>
                <w:sz w:val="28"/>
                <w:szCs w:val="28"/>
              </w:rPr>
            </w:r>
          </w:p>
        </w:tc>
      </w:tr>
      <w:tr>
        <w:trPr/>
        <w:tc>
          <w:tcPr>
            <w:tcW w:w="2754" w:type="dxa"/>
            <w:tcBorders>
              <w:top w:val="single" w:sz="6" w:space="0" w:color="000000"/>
              <w:start w:val="single" w:sz="12" w:space="0" w:color="000000"/>
              <w:bottom w:val="dashed" w:sz="6" w:space="0" w:color="auto"/>
              <w:end w:val="single" w:sz="6" w:space="0" w:color="000000"/>
            </w:tcBorders>
          </w:tcPr>
          <w:p>
            <w:pPr>
              <w:pStyle w:val="BodyText"/>
              <w:jc w:val="center"/>
              <w:rPr>
                <w:sz w:val="28"/>
                <w:szCs w:val="28"/>
              </w:rPr>
            </w:pPr>
            <w:r>
              <w:rPr>
                <w:sz w:val="28"/>
                <w:szCs w:val="28"/>
              </w:rPr>
              <w:t>Ammonia/Methanol</w:t>
            </w:r>
          </w:p>
        </w:tc>
        <w:tc>
          <w:tcPr>
            <w:tcW w:w="2754" w:type="dxa"/>
            <w:tcBorders>
              <w:top w:val="single" w:sz="6" w:space="0" w:color="000000"/>
              <w:start w:val="single" w:sz="6" w:space="0" w:color="000000"/>
              <w:bottom w:val="dashed" w:sz="6" w:space="0" w:color="auto"/>
              <w:end w:val="single" w:sz="6" w:space="0" w:color="000000"/>
            </w:tcBorders>
          </w:tcPr>
          <w:p>
            <w:pPr>
              <w:pStyle w:val="BodyText"/>
              <w:jc w:val="center"/>
              <w:rPr>
                <w:sz w:val="28"/>
                <w:szCs w:val="28"/>
              </w:rPr>
            </w:pPr>
            <w:r>
              <w:rPr>
                <w:sz w:val="28"/>
                <w:szCs w:val="28"/>
              </w:rPr>
              <w:t>Feedstock</w:t>
            </w:r>
          </w:p>
        </w:tc>
        <w:tc>
          <w:tcPr>
            <w:tcW w:w="1170" w:type="dxa"/>
            <w:tcBorders>
              <w:top w:val="single" w:sz="6" w:space="0" w:color="000000"/>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900" w:type="dxa"/>
            <w:tcBorders>
              <w:top w:val="single" w:sz="6" w:space="0" w:color="000000"/>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1620" w:type="dxa"/>
            <w:tcBorders>
              <w:top w:val="single" w:sz="6" w:space="0" w:color="000000"/>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1817" w:type="dxa"/>
            <w:tcBorders>
              <w:top w:val="single" w:sz="6" w:space="0" w:color="000000"/>
              <w:start w:val="single" w:sz="6" w:space="0" w:color="000000"/>
              <w:bottom w:val="dashed" w:sz="6" w:space="0" w:color="auto"/>
              <w:end w:val="single" w:sz="12" w:space="0" w:color="000000"/>
            </w:tcBorders>
          </w:tcPr>
          <w:p>
            <w:pPr>
              <w:pStyle w:val="BodyText"/>
              <w:snapToGrid w:val="false"/>
              <w:jc w:val="center"/>
              <w:rPr>
                <w:sz w:val="28"/>
                <w:szCs w:val="28"/>
              </w:rPr>
            </w:pPr>
            <w:r>
              <w:rPr>
                <w:sz w:val="28"/>
                <w:szCs w:val="28"/>
              </w:rPr>
            </w:r>
          </w:p>
        </w:tc>
      </w:tr>
      <w:tr>
        <w:trPr/>
        <w:tc>
          <w:tcPr>
            <w:tcW w:w="2754" w:type="dxa"/>
            <w:tcBorders>
              <w:top w:val="single" w:sz="6" w:space="0" w:color="000000"/>
              <w:start w:val="single" w:sz="12" w:space="0" w:color="000000"/>
              <w:bottom w:val="single" w:sz="6" w:space="0" w:color="000000"/>
              <w:end w:val="single" w:sz="6" w:space="0" w:color="000000"/>
            </w:tcBorders>
          </w:tcPr>
          <w:p>
            <w:pPr>
              <w:pStyle w:val="BodyText"/>
              <w:jc w:val="center"/>
              <w:rPr>
                <w:sz w:val="28"/>
                <w:szCs w:val="28"/>
              </w:rPr>
            </w:pPr>
            <w:r>
              <w:rPr>
                <w:sz w:val="28"/>
                <w:szCs w:val="28"/>
              </w:rPr>
              <w:t>Chlor-Alkali</w:t>
            </w:r>
          </w:p>
        </w:tc>
        <w:tc>
          <w:tcPr>
            <w:tcW w:w="2754" w:type="dxa"/>
            <w:tcBorders>
              <w:top w:val="single" w:sz="6" w:space="0" w:color="000000"/>
              <w:start w:val="single" w:sz="6" w:space="0" w:color="000000"/>
              <w:bottom w:val="single" w:sz="6" w:space="0" w:color="000000"/>
              <w:end w:val="single" w:sz="6" w:space="0" w:color="000000"/>
            </w:tcBorders>
          </w:tcPr>
          <w:p>
            <w:pPr>
              <w:pStyle w:val="BodyText"/>
              <w:jc w:val="center"/>
              <w:rPr>
                <w:sz w:val="28"/>
                <w:szCs w:val="28"/>
              </w:rPr>
            </w:pPr>
            <w:r>
              <w:rPr>
                <w:sz w:val="28"/>
                <w:szCs w:val="28"/>
              </w:rPr>
              <w:t>Electrochem/Evap</w:t>
            </w:r>
          </w:p>
        </w:tc>
        <w:tc>
          <w:tcPr>
            <w:tcW w:w="1170" w:type="dxa"/>
            <w:tcBorders>
              <w:top w:val="single" w:sz="6" w:space="0" w:color="000000"/>
              <w:start w:val="single" w:sz="6" w:space="0" w:color="000000"/>
              <w:bottom w:val="single" w:sz="6" w:space="0" w:color="000000"/>
              <w:end w:val="single" w:sz="6" w:space="0" w:color="000000"/>
            </w:tcBorders>
          </w:tcPr>
          <w:p>
            <w:pPr>
              <w:pStyle w:val="BodyText"/>
              <w:jc w:val="center"/>
              <w:rPr>
                <w:sz w:val="28"/>
                <w:szCs w:val="28"/>
              </w:rPr>
            </w:pPr>
            <w:r>
              <w:rPr>
                <w:sz w:val="28"/>
                <w:szCs w:val="28"/>
              </w:rPr>
              <w:t>4226</w:t>
            </w:r>
          </w:p>
        </w:tc>
        <w:tc>
          <w:tcPr>
            <w:tcW w:w="900" w:type="dxa"/>
            <w:tcBorders>
              <w:top w:val="single" w:sz="6" w:space="0" w:color="000000"/>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620" w:type="dxa"/>
            <w:tcBorders>
              <w:top w:val="single" w:sz="6" w:space="0" w:color="000000"/>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817" w:type="dxa"/>
            <w:tcBorders>
              <w:top w:val="single" w:sz="6" w:space="0" w:color="000000"/>
              <w:start w:val="single" w:sz="6" w:space="0" w:color="000000"/>
              <w:bottom w:val="single" w:sz="6" w:space="0" w:color="000000"/>
              <w:end w:val="single" w:sz="12" w:space="0" w:color="000000"/>
            </w:tcBorders>
          </w:tcPr>
          <w:p>
            <w:pPr>
              <w:pStyle w:val="BodyText"/>
              <w:snapToGrid w:val="false"/>
              <w:jc w:val="center"/>
              <w:rPr>
                <w:sz w:val="28"/>
                <w:szCs w:val="28"/>
              </w:rPr>
            </w:pPr>
            <w:r>
              <w:rPr>
                <w:sz w:val="28"/>
                <w:szCs w:val="28"/>
              </w:rPr>
            </w:r>
          </w:p>
        </w:tc>
      </w:tr>
      <w:tr>
        <w:trPr/>
        <w:tc>
          <w:tcPr>
            <w:tcW w:w="2754" w:type="dxa"/>
            <w:tcBorders>
              <w:top w:val="dashed" w:sz="6" w:space="0" w:color="auto"/>
              <w:start w:val="single" w:sz="12" w:space="0" w:color="000000"/>
              <w:bottom w:val="single" w:sz="6" w:space="0" w:color="000000"/>
              <w:end w:val="single" w:sz="6" w:space="0" w:color="000000"/>
            </w:tcBorders>
          </w:tcPr>
          <w:p>
            <w:pPr>
              <w:pStyle w:val="BodyText"/>
              <w:jc w:val="center"/>
              <w:rPr>
                <w:sz w:val="28"/>
                <w:szCs w:val="28"/>
              </w:rPr>
            </w:pPr>
            <w:r>
              <w:rPr>
                <w:sz w:val="28"/>
                <w:szCs w:val="28"/>
              </w:rPr>
              <w:t>Pulp and Paper</w:t>
            </w:r>
          </w:p>
        </w:tc>
        <w:tc>
          <w:tcPr>
            <w:tcW w:w="2754" w:type="dxa"/>
            <w:tcBorders>
              <w:top w:val="dashed" w:sz="6" w:space="0" w:color="auto"/>
              <w:start w:val="single" w:sz="6" w:space="0" w:color="000000"/>
              <w:bottom w:val="single" w:sz="6" w:space="0" w:color="000000"/>
              <w:end w:val="single" w:sz="6" w:space="0" w:color="000000"/>
            </w:tcBorders>
          </w:tcPr>
          <w:p>
            <w:pPr>
              <w:pStyle w:val="BodyText"/>
              <w:jc w:val="center"/>
              <w:rPr>
                <w:sz w:val="28"/>
                <w:szCs w:val="28"/>
              </w:rPr>
            </w:pPr>
            <w:r>
              <w:rPr>
                <w:sz w:val="28"/>
                <w:szCs w:val="28"/>
              </w:rPr>
              <w:t>Process Heat</w:t>
            </w:r>
          </w:p>
        </w:tc>
        <w:tc>
          <w:tcPr>
            <w:tcW w:w="1170" w:type="dxa"/>
            <w:tcBorders>
              <w:top w:val="dashed" w:sz="6" w:space="0" w:color="auto"/>
              <w:start w:val="single" w:sz="6" w:space="0" w:color="000000"/>
              <w:bottom w:val="single" w:sz="6" w:space="0" w:color="000000"/>
              <w:end w:val="single" w:sz="6" w:space="0" w:color="000000"/>
            </w:tcBorders>
          </w:tcPr>
          <w:p>
            <w:pPr>
              <w:pStyle w:val="BodyText"/>
              <w:jc w:val="center"/>
              <w:rPr>
                <w:sz w:val="28"/>
                <w:szCs w:val="28"/>
              </w:rPr>
            </w:pPr>
            <w:r>
              <w:rPr>
                <w:sz w:val="28"/>
                <w:szCs w:val="28"/>
              </w:rPr>
              <w:t>322</w:t>
            </w:r>
          </w:p>
        </w:tc>
        <w:tc>
          <w:tcPr>
            <w:tcW w:w="900" w:type="dxa"/>
            <w:tcBorders>
              <w:top w:val="dashed" w:sz="6" w:space="0" w:color="auto"/>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620" w:type="dxa"/>
            <w:tcBorders>
              <w:top w:val="dashed" w:sz="6" w:space="0" w:color="auto"/>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817" w:type="dxa"/>
            <w:tcBorders>
              <w:top w:val="dashed" w:sz="6" w:space="0" w:color="auto"/>
              <w:start w:val="single" w:sz="6" w:space="0" w:color="000000"/>
              <w:bottom w:val="single" w:sz="6" w:space="0" w:color="000000"/>
              <w:end w:val="single" w:sz="12" w:space="0" w:color="000000"/>
            </w:tcBorders>
          </w:tcPr>
          <w:p>
            <w:pPr>
              <w:pStyle w:val="BodyText"/>
              <w:snapToGrid w:val="false"/>
              <w:jc w:val="center"/>
              <w:rPr>
                <w:sz w:val="28"/>
                <w:szCs w:val="28"/>
              </w:rPr>
            </w:pPr>
            <w:r>
              <w:rPr>
                <w:sz w:val="28"/>
                <w:szCs w:val="28"/>
              </w:rPr>
            </w:r>
          </w:p>
        </w:tc>
      </w:tr>
      <w:tr>
        <w:trPr/>
        <w:tc>
          <w:tcPr>
            <w:tcW w:w="2754" w:type="dxa"/>
            <w:tcBorders>
              <w:top w:val="dashed" w:sz="6" w:space="0" w:color="auto"/>
              <w:start w:val="single" w:sz="12" w:space="0" w:color="000000"/>
              <w:bottom w:val="dashed" w:sz="6" w:space="0" w:color="auto"/>
              <w:end w:val="single" w:sz="6" w:space="0" w:color="000000"/>
            </w:tcBorders>
          </w:tcPr>
          <w:p>
            <w:pPr>
              <w:pStyle w:val="BodyText"/>
              <w:jc w:val="center"/>
              <w:rPr>
                <w:sz w:val="28"/>
                <w:szCs w:val="28"/>
              </w:rPr>
            </w:pPr>
            <w:r>
              <w:rPr>
                <w:sz w:val="28"/>
                <w:szCs w:val="28"/>
              </w:rPr>
              <w:t>Automotive</w:t>
            </w:r>
          </w:p>
        </w:tc>
        <w:tc>
          <w:tcPr>
            <w:tcW w:w="2754" w:type="dxa"/>
            <w:tcBorders>
              <w:top w:val="dashed" w:sz="6" w:space="0" w:color="auto"/>
              <w:start w:val="single" w:sz="6" w:space="0" w:color="000000"/>
              <w:bottom w:val="dashed" w:sz="6" w:space="0" w:color="auto"/>
              <w:end w:val="single" w:sz="6" w:space="0" w:color="000000"/>
            </w:tcBorders>
          </w:tcPr>
          <w:p>
            <w:pPr>
              <w:pStyle w:val="BodyText"/>
              <w:jc w:val="center"/>
              <w:rPr>
                <w:sz w:val="28"/>
                <w:szCs w:val="28"/>
              </w:rPr>
            </w:pPr>
            <w:r>
              <w:rPr>
                <w:sz w:val="28"/>
                <w:szCs w:val="28"/>
              </w:rPr>
              <w:t>Metals</w:t>
            </w:r>
          </w:p>
        </w:tc>
        <w:tc>
          <w:tcPr>
            <w:tcW w:w="1170" w:type="dxa"/>
            <w:tcBorders>
              <w:top w:val="dashed" w:sz="6" w:space="0" w:color="auto"/>
              <w:start w:val="single" w:sz="6" w:space="0" w:color="000000"/>
              <w:bottom w:val="dashed" w:sz="6" w:space="0" w:color="auto"/>
              <w:end w:val="single" w:sz="6" w:space="0" w:color="000000"/>
            </w:tcBorders>
          </w:tcPr>
          <w:p>
            <w:pPr>
              <w:pStyle w:val="BodyText"/>
              <w:jc w:val="center"/>
              <w:rPr>
                <w:sz w:val="28"/>
                <w:szCs w:val="28"/>
              </w:rPr>
            </w:pPr>
            <w:r>
              <w:rPr>
                <w:sz w:val="28"/>
                <w:szCs w:val="28"/>
              </w:rPr>
              <w:t>4211</w:t>
            </w:r>
          </w:p>
        </w:tc>
        <w:tc>
          <w:tcPr>
            <w:tcW w:w="900" w:type="dxa"/>
            <w:tcBorders>
              <w:top w:val="dashed" w:sz="6" w:space="0" w:color="auto"/>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1620" w:type="dxa"/>
            <w:tcBorders>
              <w:top w:val="dashed" w:sz="6" w:space="0" w:color="auto"/>
              <w:start w:val="single" w:sz="6" w:space="0" w:color="000000"/>
              <w:bottom w:val="dashed" w:sz="6" w:space="0" w:color="auto"/>
              <w:end w:val="single" w:sz="6" w:space="0" w:color="000000"/>
            </w:tcBorders>
          </w:tcPr>
          <w:p>
            <w:pPr>
              <w:pStyle w:val="BodyText"/>
              <w:snapToGrid w:val="false"/>
              <w:jc w:val="center"/>
              <w:rPr>
                <w:sz w:val="28"/>
                <w:szCs w:val="28"/>
              </w:rPr>
            </w:pPr>
            <w:r>
              <w:rPr>
                <w:sz w:val="28"/>
                <w:szCs w:val="28"/>
              </w:rPr>
            </w:r>
          </w:p>
        </w:tc>
        <w:tc>
          <w:tcPr>
            <w:tcW w:w="1817" w:type="dxa"/>
            <w:tcBorders>
              <w:top w:val="dashed" w:sz="6" w:space="0" w:color="auto"/>
              <w:start w:val="single" w:sz="6" w:space="0" w:color="000000"/>
              <w:bottom w:val="dashed" w:sz="6" w:space="0" w:color="auto"/>
              <w:end w:val="single" w:sz="12" w:space="0" w:color="000000"/>
            </w:tcBorders>
          </w:tcPr>
          <w:p>
            <w:pPr>
              <w:pStyle w:val="BodyText"/>
              <w:snapToGrid w:val="false"/>
              <w:jc w:val="center"/>
              <w:rPr>
                <w:sz w:val="28"/>
                <w:szCs w:val="28"/>
              </w:rPr>
            </w:pPr>
            <w:r>
              <w:rPr>
                <w:sz w:val="28"/>
                <w:szCs w:val="28"/>
              </w:rPr>
            </w:r>
          </w:p>
        </w:tc>
      </w:tr>
      <w:tr>
        <w:trPr/>
        <w:tc>
          <w:tcPr>
            <w:tcW w:w="2754" w:type="dxa"/>
            <w:tcBorders>
              <w:top w:val="single" w:sz="6" w:space="0" w:color="000000"/>
              <w:start w:val="single" w:sz="12" w:space="0" w:color="000000"/>
              <w:bottom w:val="single" w:sz="6" w:space="0" w:color="000000"/>
              <w:end w:val="single" w:sz="6" w:space="0" w:color="000000"/>
            </w:tcBorders>
          </w:tcPr>
          <w:p>
            <w:pPr>
              <w:pStyle w:val="BodyText"/>
              <w:jc w:val="center"/>
              <w:rPr>
                <w:sz w:val="28"/>
                <w:szCs w:val="28"/>
              </w:rPr>
            </w:pPr>
            <w:r>
              <w:rPr>
                <w:sz w:val="28"/>
                <w:szCs w:val="28"/>
              </w:rPr>
              <w:t>Glass</w:t>
            </w:r>
          </w:p>
        </w:tc>
        <w:tc>
          <w:tcPr>
            <w:tcW w:w="2754" w:type="dxa"/>
            <w:tcBorders>
              <w:top w:val="single" w:sz="6" w:space="0" w:color="000000"/>
              <w:start w:val="single" w:sz="6" w:space="0" w:color="000000"/>
              <w:bottom w:val="single" w:sz="6" w:space="0" w:color="000000"/>
              <w:end w:val="single" w:sz="6" w:space="0" w:color="000000"/>
            </w:tcBorders>
          </w:tcPr>
          <w:p>
            <w:pPr>
              <w:pStyle w:val="BodyText"/>
              <w:jc w:val="center"/>
              <w:rPr>
                <w:sz w:val="28"/>
                <w:szCs w:val="28"/>
              </w:rPr>
            </w:pPr>
            <w:r>
              <w:rPr>
                <w:sz w:val="28"/>
                <w:szCs w:val="28"/>
              </w:rPr>
              <w:t>Flat, Container</w:t>
            </w:r>
          </w:p>
        </w:tc>
        <w:tc>
          <w:tcPr>
            <w:tcW w:w="1170" w:type="dxa"/>
            <w:tcBorders>
              <w:top w:val="single" w:sz="6" w:space="0" w:color="000000"/>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900" w:type="dxa"/>
            <w:tcBorders>
              <w:top w:val="single" w:sz="6" w:space="0" w:color="000000"/>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620" w:type="dxa"/>
            <w:tcBorders>
              <w:top w:val="single" w:sz="6" w:space="0" w:color="000000"/>
              <w:start w:val="single" w:sz="6" w:space="0" w:color="000000"/>
              <w:bottom w:val="single" w:sz="6" w:space="0" w:color="000000"/>
              <w:end w:val="single" w:sz="6" w:space="0" w:color="000000"/>
            </w:tcBorders>
          </w:tcPr>
          <w:p>
            <w:pPr>
              <w:pStyle w:val="BodyText"/>
              <w:snapToGrid w:val="false"/>
              <w:jc w:val="center"/>
              <w:rPr>
                <w:sz w:val="28"/>
                <w:szCs w:val="28"/>
              </w:rPr>
            </w:pPr>
            <w:r>
              <w:rPr>
                <w:sz w:val="28"/>
                <w:szCs w:val="28"/>
              </w:rPr>
            </w:r>
          </w:p>
        </w:tc>
        <w:tc>
          <w:tcPr>
            <w:tcW w:w="1817" w:type="dxa"/>
            <w:tcBorders>
              <w:top w:val="single" w:sz="6" w:space="0" w:color="000000"/>
              <w:start w:val="single" w:sz="6" w:space="0" w:color="000000"/>
              <w:bottom w:val="single" w:sz="6" w:space="0" w:color="000000"/>
              <w:end w:val="single" w:sz="12" w:space="0" w:color="000000"/>
            </w:tcBorders>
          </w:tcPr>
          <w:p>
            <w:pPr>
              <w:pStyle w:val="BodyText"/>
              <w:snapToGrid w:val="false"/>
              <w:jc w:val="center"/>
              <w:rPr>
                <w:sz w:val="28"/>
                <w:szCs w:val="28"/>
              </w:rPr>
            </w:pPr>
            <w:r>
              <w:rPr>
                <w:sz w:val="28"/>
                <w:szCs w:val="28"/>
              </w:rPr>
            </w:r>
          </w:p>
        </w:tc>
      </w:tr>
      <w:tr>
        <w:trPr/>
        <w:tc>
          <w:tcPr>
            <w:tcW w:w="2754" w:type="dxa"/>
            <w:tcBorders>
              <w:top w:val="single" w:sz="6" w:space="0" w:color="000000"/>
              <w:start w:val="single" w:sz="12" w:space="0" w:color="000000"/>
              <w:bottom w:val="single" w:sz="12" w:space="0" w:color="000000"/>
              <w:end w:val="single" w:sz="6" w:space="0" w:color="000000"/>
            </w:tcBorders>
          </w:tcPr>
          <w:p>
            <w:pPr>
              <w:pStyle w:val="BodyText"/>
              <w:jc w:val="center"/>
              <w:rPr>
                <w:sz w:val="28"/>
                <w:szCs w:val="28"/>
              </w:rPr>
            </w:pPr>
            <w:r>
              <w:rPr>
                <w:sz w:val="28"/>
                <w:szCs w:val="28"/>
              </w:rPr>
              <w:t>Table Total</w:t>
            </w:r>
          </w:p>
        </w:tc>
        <w:tc>
          <w:tcPr>
            <w:tcW w:w="2754" w:type="dxa"/>
            <w:tcBorders>
              <w:top w:val="single" w:sz="6" w:space="0" w:color="000000"/>
              <w:start w:val="single" w:sz="6" w:space="0" w:color="000000"/>
              <w:bottom w:val="single" w:sz="12" w:space="0" w:color="000000"/>
              <w:end w:val="single" w:sz="6" w:space="0" w:color="000000"/>
            </w:tcBorders>
          </w:tcPr>
          <w:p>
            <w:pPr>
              <w:pStyle w:val="BodyText"/>
              <w:jc w:val="center"/>
              <w:rPr>
                <w:sz w:val="28"/>
                <w:szCs w:val="28"/>
              </w:rPr>
            </w:pPr>
            <w:r>
              <w:rPr>
                <w:sz w:val="28"/>
                <w:szCs w:val="28"/>
              </w:rPr>
              <w:t>NA</w:t>
            </w:r>
          </w:p>
        </w:tc>
        <w:tc>
          <w:tcPr>
            <w:tcW w:w="1170" w:type="dxa"/>
            <w:tcBorders>
              <w:top w:val="single" w:sz="6" w:space="0" w:color="000000"/>
              <w:start w:val="single" w:sz="6" w:space="0" w:color="000000"/>
              <w:bottom w:val="single" w:sz="12" w:space="0" w:color="000000"/>
              <w:end w:val="single" w:sz="6" w:space="0" w:color="000000"/>
            </w:tcBorders>
          </w:tcPr>
          <w:p>
            <w:pPr>
              <w:pStyle w:val="BodyText"/>
              <w:jc w:val="center"/>
              <w:rPr>
                <w:sz w:val="28"/>
                <w:szCs w:val="28"/>
              </w:rPr>
            </w:pPr>
            <w:r>
              <w:rPr>
                <w:sz w:val="28"/>
                <w:szCs w:val="28"/>
              </w:rPr>
              <w:t>NA</w:t>
            </w:r>
          </w:p>
        </w:tc>
        <w:tc>
          <w:tcPr>
            <w:tcW w:w="900" w:type="dxa"/>
            <w:tcBorders>
              <w:top w:val="single" w:sz="6" w:space="0" w:color="000000"/>
              <w:start w:val="single" w:sz="6" w:space="0" w:color="000000"/>
              <w:bottom w:val="single" w:sz="12" w:space="0" w:color="000000"/>
              <w:end w:val="single" w:sz="6" w:space="0" w:color="000000"/>
            </w:tcBorders>
          </w:tcPr>
          <w:p>
            <w:pPr>
              <w:pStyle w:val="BodyText"/>
              <w:jc w:val="center"/>
              <w:rPr>
                <w:sz w:val="28"/>
                <w:szCs w:val="28"/>
              </w:rPr>
            </w:pPr>
            <w:r>
              <w:rPr>
                <w:sz w:val="28"/>
                <w:szCs w:val="28"/>
              </w:rPr>
              <w:t>NA</w:t>
            </w:r>
          </w:p>
        </w:tc>
        <w:tc>
          <w:tcPr>
            <w:tcW w:w="1620" w:type="dxa"/>
            <w:tcBorders>
              <w:top w:val="single" w:sz="6" w:space="0" w:color="000000"/>
              <w:start w:val="single" w:sz="6" w:space="0" w:color="000000"/>
              <w:bottom w:val="single" w:sz="12" w:space="0" w:color="000000"/>
              <w:end w:val="single" w:sz="6" w:space="0" w:color="000000"/>
            </w:tcBorders>
          </w:tcPr>
          <w:p>
            <w:pPr>
              <w:pStyle w:val="BodyText"/>
              <w:jc w:val="center"/>
              <w:rPr>
                <w:sz w:val="28"/>
                <w:szCs w:val="28"/>
              </w:rPr>
            </w:pPr>
            <w:r>
              <w:rPr>
                <w:sz w:val="28"/>
                <w:szCs w:val="28"/>
              </w:rPr>
              <w:t>NA</w:t>
            </w:r>
          </w:p>
        </w:tc>
        <w:tc>
          <w:tcPr>
            <w:tcW w:w="1817" w:type="dxa"/>
            <w:tcBorders>
              <w:top w:val="single" w:sz="6" w:space="0" w:color="000000"/>
              <w:start w:val="single" w:sz="6" w:space="0" w:color="000000"/>
              <w:bottom w:val="single" w:sz="12" w:space="0" w:color="000000"/>
              <w:end w:val="single" w:sz="12" w:space="0" w:color="000000"/>
            </w:tcBorders>
          </w:tcPr>
          <w:p>
            <w:pPr>
              <w:pStyle w:val="BodyText"/>
              <w:snapToGrid w:val="false"/>
              <w:jc w:val="center"/>
              <w:rPr>
                <w:sz w:val="28"/>
                <w:szCs w:val="28"/>
              </w:rPr>
            </w:pPr>
            <w:r>
              <w:rPr>
                <w:sz w:val="28"/>
                <w:szCs w:val="28"/>
              </w:rPr>
            </w:r>
          </w:p>
        </w:tc>
      </w:tr>
    </w:tbl>
    <w:p>
      <w:pPr>
        <w:pStyle w:val="BodyText"/>
        <w:rPr/>
      </w:pPr>
      <w:r>
        <w:rPr/>
        <w:tab/>
        <w:t xml:space="preserve">We are creeping up on this table – many traditional data sources are no more, so we have to develop alternates to ensure consistent data.  </w:t>
      </w:r>
      <w:r>
        <w:br w:type="page"/>
      </w:r>
    </w:p>
    <w:p>
      <w:pPr>
        <w:pStyle w:val="BodyText"/>
        <w:ind w:start="720" w:end="0"/>
        <w:rPr/>
      </w:pPr>
      <w:r>
        <w:rPr/>
        <w:t xml:space="preserve">U.S. Ammonia production is off due to plant closures where gas costs made manufacture </w:t>
      </w:r>
    </w:p>
    <w:p>
      <w:pPr>
        <w:pStyle w:val="BodyText"/>
        <w:rPr/>
      </w:pPr>
      <w:r>
        <w:rPr/>
        <w:t>uneconomic where the ammonia is not a precursor (raw material) for a downstream plant, such as urea. Whether shut down facilities will come back up is a question, because the plants are hard to mothball and most are fairly old. Imported ammonia is inexpensive and in ample supply, so there is little reason to struggle with old, inefficient plants if it can be imported for less.</w:t>
      </w:r>
    </w:p>
    <w:p>
      <w:pPr>
        <w:pStyle w:val="BodyText"/>
        <w:rPr/>
      </w:pPr>
      <w:r>
        <w:rPr/>
        <w:tab/>
        <w:t xml:space="preserve">Methanol is pretty much a dead duck, except for captive, downstream plants that are kept open partly for competitive supply reasons. Methanex (Canadian)  plants have beeen mothballed or closed because of unfavorable production costs, so it is a North American phenomenon, not just U.S.. </w:t>
      </w:r>
    </w:p>
    <w:p>
      <w:pPr>
        <w:pStyle w:val="BodyText"/>
        <w:rPr/>
      </w:pPr>
      <w:r>
        <w:rPr/>
        <w:tab/>
        <w:t xml:space="preserve">Metals, especially Aluminum, is beginning to come back in Texas, so gas use can as well. Micro steel mills are significant power as well as users, so often have cogen facilities on site. Their economics are primarily impacted by imported steel prices and alleged dumping. </w:t>
      </w:r>
    </w:p>
    <w:p>
      <w:pPr>
        <w:pStyle w:val="BodyText"/>
        <w:rPr/>
      </w:pPr>
      <w:r>
        <w:rPr/>
        <w:tab/>
        <w:t xml:space="preserve">Glass containers are having a tough time because of aluminum cans and plastic (PETN) bottles, but flat glass output is tied to home construction and automobiles. </w:t>
      </w:r>
    </w:p>
    <w:p>
      <w:pPr>
        <w:pStyle w:val="BodyText"/>
        <w:rPr/>
      </w:pPr>
      <w:r>
        <w:rPr/>
        <w:tab/>
        <w:t>Pulp and paper is cyclical and tends to track economic activity; gas use is primarily in pulp production steps which do not have any alternative energy source.</w:t>
      </w:r>
    </w:p>
    <w:p>
      <w:pPr>
        <w:pStyle w:val="BodyText"/>
        <w:rPr/>
      </w:pPr>
      <w:r>
        <w:rPr/>
        <w:tab/>
        <w:t>The dominant inorganic chemical(s) that are major gas consumers are caustic soda and chlorine, which are produced as electro chemical equivalents in the same equipment. The gas is used to generate power and steam; the power dissociates brine, the steam is used to concentrate the caustic and in other on site units.</w:t>
      </w:r>
    </w:p>
    <w:p>
      <w:pPr>
        <w:pStyle w:val="BodyText"/>
        <w:rPr/>
      </w:pPr>
      <w:r>
        <w:rPr/>
        <w:tab/>
        <w:t>Petroleum refining gas uses are for process heat and as feedstock to hydrogen units.  Petrochemical gas needs are for process heat and feedstocks. While some alternates to gas can be used, they are usually neither competitive nor long term solutions.</w:t>
      </w:r>
    </w:p>
    <w:p>
      <w:pPr>
        <w:pStyle w:val="BodyText"/>
        <w:rPr/>
      </w:pPr>
      <w:r>
        <w:rPr/>
        <w:tab/>
        <w:t>Automotive manufacturing gas demands are for metal treating, space heating of factories and drying. We just used gross demand data to ratio gas use to production rates. It’s not pretty, but it seems to work.</w:t>
      </w:r>
    </w:p>
    <w:p>
      <w:pPr>
        <w:pStyle w:val="BodyText"/>
        <w:rPr/>
      </w:pPr>
      <w:r>
        <w:rPr/>
      </w:r>
    </w:p>
    <w:p>
      <w:pPr>
        <w:pStyle w:val="BodyText"/>
        <w:rPr>
          <w:i/>
          <w:i/>
          <w:iCs/>
          <w:sz w:val="28"/>
          <w:szCs w:val="28"/>
        </w:rPr>
      </w:pPr>
      <w:r>
        <w:rPr>
          <w:i/>
          <w:iCs/>
          <w:sz w:val="28"/>
          <w:szCs w:val="28"/>
        </w:rPr>
        <w:t>Graphics Discussion</w:t>
      </w:r>
    </w:p>
    <w:p>
      <w:pPr>
        <w:pStyle w:val="Normal"/>
        <w:rPr>
          <w:b/>
          <w:bCs/>
          <w:sz w:val="16"/>
          <w:szCs w:val="16"/>
        </w:rPr>
      </w:pPr>
      <w:r>
        <w:rPr>
          <w:b/>
          <w:bCs/>
          <w:sz w:val="16"/>
          <w:szCs w:val="16"/>
        </w:rPr>
        <w:t>2/04/200</w:t>
      </w:r>
    </w:p>
    <w:p>
      <w:pPr>
        <w:pStyle w:val="BodyText"/>
        <w:rPr/>
      </w:pPr>
      <w:r>
        <w:rPr/>
        <w:tab/>
        <w:t xml:space="preserve">We added a special chart to show you what EIA said about average daily June injections since 1990 – the reason for this is to compare AGA average weekly numbers with another public source. As can be seen, since 1997, EIA reported average daily June injections have tailed off dramatically.  This suggests that storage is being operated quite differently than traditional fill/pull cycles used by LDC’s. </w:t>
      </w:r>
    </w:p>
    <w:p>
      <w:pPr>
        <w:pStyle w:val="BodyText"/>
        <w:rPr/>
      </w:pPr>
      <w:r>
        <w:rPr/>
        <w:tab/>
        <w:t>AGAWG inventories are now exactly on those of GasFax®; AGA weekly injections seem to be paralleling those of GasFax®, except at 15 BCFD rather than 12 BCFD.</w:t>
      </w:r>
    </w:p>
    <w:p>
      <w:pPr>
        <w:pStyle w:val="BodyText"/>
        <w:rPr/>
      </w:pPr>
      <w:r>
        <w:rPr/>
        <w:tab/>
        <w:t>GasFax® GG inventories are still about 150 BCF lower than the three year average in spite of the heroic injection efforts suggested by AGA. The EIA STIFs model is now right on GasFax® 01, for whatever comfort that gives us. Both are below the EIA three year average.</w:t>
      </w:r>
      <w:r>
        <w:br w:type="page"/>
      </w:r>
    </w:p>
    <w:p>
      <w:pPr>
        <w:pStyle w:val="BodyText"/>
        <w:rPr/>
      </w:pPr>
      <w:r>
        <w:rPr/>
        <w:t xml:space="preserve"> </w:t>
      </w:r>
    </w:p>
    <w:p>
      <w:pPr>
        <w:pStyle w:val="BodyText"/>
        <w:rPr>
          <w:i/>
          <w:i/>
          <w:iCs/>
          <w:sz w:val="28"/>
          <w:szCs w:val="28"/>
        </w:rPr>
      </w:pPr>
      <w:r>
        <w:rPr>
          <w:i/>
          <w:iCs/>
          <w:sz w:val="28"/>
          <w:szCs w:val="28"/>
        </w:rPr>
        <w:t>GasFax®</w:t>
      </w:r>
    </w:p>
    <w:p>
      <w:pPr>
        <w:pStyle w:val="BodyText"/>
        <w:rPr/>
      </w:pPr>
      <w:r>
        <w:rPr/>
        <w:tab/>
        <w:t xml:space="preserve">This week’s topic is about LNG imports - how much impact do they  have on Apparent Demand calculations?  In a word, “some”. The basis for this conclusion is that “stranded gas” production from new oil and gas discoveries in Africa and Asia had no home unless converted to LNG or gas derivative, such as ammonia. The alternatives were to flare,  re-inject the associated (co-product) gas from crude production or not produce gas well gas at all. These stark realities put a new variable in LNG economics - the raw gas itself essentially had zero, or even negative, value without a market. “Net back” sales based upon production point value </w:t>
      </w:r>
      <w:r>
        <w:rPr>
          <w:i/>
          <w:iCs/>
        </w:rPr>
        <w:t>after</w:t>
      </w:r>
      <w:r>
        <w:rPr/>
        <w:t xml:space="preserve"> conversion to LNG,  transportation, reception and distribution costs then became economically feasible. (The first U.S. LNG program assumed POS (Point of Shipment) fixed prices to which all subsequent costs were added and the resulting delivered costs blended into the FERC rate base.)  The difference showed the effect of changing to market driven economics from cost determined, regulatory rates.</w:t>
      </w:r>
    </w:p>
    <w:p>
      <w:pPr>
        <w:pStyle w:val="BodyText"/>
        <w:rPr/>
      </w:pPr>
      <w:r>
        <w:rPr/>
        <w:tab/>
        <w:t xml:space="preserve">The purpose of this week’s imports review is to define the relationships between </w:t>
      </w:r>
      <w:r>
        <w:rPr>
          <w:i/>
          <w:iCs/>
        </w:rPr>
        <w:t>North American</w:t>
      </w:r>
      <w:r>
        <w:rPr/>
        <w:t xml:space="preserve"> pipeline gas supplies, LNG imports and apparent demand. The question was how much gas was </w:t>
      </w:r>
      <w:r>
        <w:rPr>
          <w:i/>
          <w:iCs/>
        </w:rPr>
        <w:t>exported</w:t>
      </w:r>
      <w:r>
        <w:rPr/>
        <w:t xml:space="preserve"> vs total </w:t>
      </w:r>
      <w:r>
        <w:rPr>
          <w:i/>
          <w:iCs/>
        </w:rPr>
        <w:t>imports</w:t>
      </w:r>
      <w:r>
        <w:rPr/>
        <w:t xml:space="preserve"> in all forms, including LNG.  Although exports were not trivial, Canadian gas re-imports from the U.S. were less as a percentage than anticipated. Mexican exports were essentially lost in the round off and had no real impact, even though they were twice as large in percentage as Canadian re-imports.</w:t>
      </w:r>
    </w:p>
    <w:p>
      <w:pPr>
        <w:pStyle w:val="BodyText"/>
        <w:rPr/>
      </w:pPr>
      <w:r>
        <w:rPr/>
        <w:tab/>
        <w:t>The table shows us three important facts:</w:t>
      </w:r>
    </w:p>
    <w:p>
      <w:pPr>
        <w:pStyle w:val="BodyText"/>
        <w:numPr>
          <w:ilvl w:val="0"/>
          <w:numId w:val="3"/>
        </w:numPr>
        <w:tabs>
          <w:tab w:val="clear" w:pos="720"/>
          <w:tab w:val="left" w:pos="0" w:leader="none"/>
        </w:tabs>
        <w:ind w:hanging="720" w:start="2160" w:end="0"/>
        <w:rPr>
          <w:i/>
          <w:i/>
          <w:iCs/>
          <w:sz w:val="28"/>
          <w:szCs w:val="28"/>
        </w:rPr>
      </w:pPr>
      <w:r>
        <w:rPr/>
        <w:t xml:space="preserve">Pipeline gas imports will remain the dominant </w:t>
      </w:r>
      <w:r>
        <w:rPr>
          <w:i/>
          <w:iCs/>
        </w:rPr>
        <w:t>inland</w:t>
      </w:r>
      <w:r>
        <w:rPr/>
        <w:t xml:space="preserve"> form</w:t>
      </w:r>
    </w:p>
    <w:p>
      <w:pPr>
        <w:pStyle w:val="BodyText"/>
        <w:numPr>
          <w:ilvl w:val="0"/>
          <w:numId w:val="3"/>
        </w:numPr>
        <w:tabs>
          <w:tab w:val="clear" w:pos="720"/>
          <w:tab w:val="left" w:pos="0" w:leader="none"/>
        </w:tabs>
        <w:ind w:hanging="720" w:start="2160" w:end="0"/>
        <w:rPr>
          <w:i/>
          <w:i/>
          <w:iCs/>
          <w:sz w:val="28"/>
          <w:szCs w:val="28"/>
        </w:rPr>
      </w:pPr>
      <w:r>
        <w:rPr/>
        <w:t xml:space="preserve">LNG will  be the </w:t>
      </w:r>
      <w:r>
        <w:rPr>
          <w:i/>
          <w:iCs/>
        </w:rPr>
        <w:t>fastest growing</w:t>
      </w:r>
      <w:r>
        <w:rPr/>
        <w:t xml:space="preserve"> </w:t>
      </w:r>
      <w:r>
        <w:rPr>
          <w:i/>
          <w:iCs/>
        </w:rPr>
        <w:t>source of gas</w:t>
      </w:r>
      <w:r>
        <w:rPr/>
        <w:t xml:space="preserve"> to the U.S.</w:t>
      </w:r>
    </w:p>
    <w:p>
      <w:pPr>
        <w:pStyle w:val="BodyText"/>
        <w:numPr>
          <w:ilvl w:val="0"/>
          <w:numId w:val="3"/>
        </w:numPr>
        <w:tabs>
          <w:tab w:val="clear" w:pos="720"/>
          <w:tab w:val="left" w:pos="0" w:leader="none"/>
        </w:tabs>
        <w:ind w:hanging="720" w:start="2160" w:end="0"/>
        <w:rPr>
          <w:i/>
          <w:i/>
          <w:iCs/>
          <w:sz w:val="28"/>
          <w:szCs w:val="28"/>
        </w:rPr>
      </w:pPr>
      <w:r>
        <w:rPr/>
        <w:t xml:space="preserve">LNG will serve </w:t>
      </w:r>
      <w:r>
        <w:rPr>
          <w:i/>
          <w:iCs/>
        </w:rPr>
        <w:t>coastal</w:t>
      </w:r>
      <w:r>
        <w:rPr/>
        <w:t xml:space="preserve"> U.S. markets primarily, where demand growth is highest</w:t>
      </w:r>
    </w:p>
    <w:p>
      <w:pPr>
        <w:pStyle w:val="BodyText"/>
        <w:rPr/>
      </w:pPr>
      <w:r>
        <w:rPr/>
        <w:tab/>
        <w:t xml:space="preserve">LNG </w:t>
      </w:r>
      <w:r>
        <w:rPr>
          <w:i/>
          <w:iCs/>
        </w:rPr>
        <w:t>exports</w:t>
      </w:r>
      <w:r>
        <w:rPr/>
        <w:t xml:space="preserve"> are exclusively from Alaska, and almost entirely to Japan. Until an Alaskan Pipeline is built to carry Alaskan gas to the lower 48 states, LNG will be the only way for gas to be shipped from Alaska. Obviously, LNG can be transported from Alaska to California, but the economics become far more complex and outside this discussion. (The significance is that Chevron has announced a possible California LNG terminal - it could be served by Indonesian LNG as well as Alaskan)</w:t>
      </w:r>
    </w:p>
    <w:p>
      <w:pPr>
        <w:pStyle w:val="BodyText"/>
        <w:rPr/>
      </w:pPr>
      <w:r>
        <w:rPr/>
        <w:tab/>
        <w:t xml:space="preserve">The question raised was whether LNG imports play a significant role in determining whether Contiguous U.S. Apparent Demand calculations were affected by LNG imports, and the answer is “yes”. LNG imports are growing fast, with the total right now past round off volumes and likely to expand significantly. Why now? Because natural gas has become a major world free market energy form and stranded gas has grown exponentially. </w:t>
      </w:r>
    </w:p>
    <w:p>
      <w:pPr>
        <w:pStyle w:val="BodyText"/>
        <w:ind w:firstLine="720" w:end="0"/>
        <w:rPr/>
      </w:pPr>
      <w:r>
        <w:rPr/>
        <w:t xml:space="preserve">The only options were conversion to derivatives, whose outlets were limited; LNG, whose logistics were costly, flaring or re-injection. The only choice that promised an acceptable producer return was LNG, and it opened up world scale opportunities if the concept of </w:t>
      </w:r>
      <w:r>
        <w:rPr>
          <w:i/>
          <w:iCs/>
        </w:rPr>
        <w:t>zero alternate value</w:t>
      </w:r>
      <w:r>
        <w:rPr/>
        <w:t xml:space="preserve"> was accepted by producer states.  Given the options, net back sales were logical.</w:t>
      </w:r>
    </w:p>
    <w:p>
      <w:pPr>
        <w:pStyle w:val="BodyText"/>
        <w:rPr/>
      </w:pPr>
      <w:r>
        <w:rPr/>
        <w:tab/>
        <w:t xml:space="preserve">Shipping economics also changed for the better, since ship construction costs have dropped significantly. (Fuel expenses are essentially zero because the ships use the LNG “boil off”  or vaporization in transit for engine fuel). Ditto debits for conversion of gas to LNG, about 20% by volume of plant feed. Thus, </w:t>
      </w:r>
      <w:r>
        <w:rPr>
          <w:i/>
          <w:iCs/>
        </w:rPr>
        <w:t>operational expenses</w:t>
      </w:r>
      <w:r>
        <w:rPr/>
        <w:t xml:space="preserve"> are not factors, and only </w:t>
      </w:r>
      <w:r>
        <w:rPr>
          <w:i/>
          <w:iCs/>
        </w:rPr>
        <w:t>capital expenses</w:t>
      </w:r>
      <w:r>
        <w:rPr/>
        <w:t xml:space="preserve"> and producer state taxes or charges impact LNG supplier economics. Obviously unit capital charges are affected by economies of scale, so the more LNG that is produced and shipped from a given LNG plant, the lower fixed costs are as a proportion of all expenses.</w:t>
      </w:r>
    </w:p>
    <w:p>
      <w:pPr>
        <w:pStyle w:val="BodyText"/>
        <w:rPr/>
      </w:pPr>
      <w:r>
        <w:rPr/>
        <w:tab/>
        <w:t xml:space="preserve">The fact that LNG is a coastal energy form, by definition, means that </w:t>
      </w:r>
      <w:r>
        <w:rPr>
          <w:i/>
          <w:iCs/>
        </w:rPr>
        <w:t>receiving terminals</w:t>
      </w:r>
      <w:r>
        <w:rPr/>
        <w:t xml:space="preserve"> can be located wherever permits can be gained for them. U.S. demographics show that the highest population concentrations and growth are in coastal regions, especially in so called sun belt states. People equal gas and energy demands, so LNG suddenly was re-discovered when net back economics became acceptable to producer states.</w:t>
      </w:r>
    </w:p>
    <w:p>
      <w:pPr>
        <w:pStyle w:val="BodyText"/>
        <w:rPr/>
      </w:pPr>
      <w:r>
        <w:rPr/>
        <w:tab/>
        <w:t xml:space="preserve">Returning to LNG as a factor in Contiguous U.S. gas import balances,  Canadian gas pipeline shipments accounted for 94% of all U.S. gas imports in 2000, while LNG amounted to 6%. Total U.S. gas </w:t>
      </w:r>
      <w:r>
        <w:rPr>
          <w:i/>
          <w:iCs/>
        </w:rPr>
        <w:t xml:space="preserve">exports </w:t>
      </w:r>
      <w:r>
        <w:rPr/>
        <w:t>were 4.5% of total imports (not in table), disregarding Alaskan LNG. Natural gas exports to Mexico were 64% of the total, with Canadian re-imports 36% in 2000. The size of exports to Mexico was not expected, and the growth rate of 79% since 1995 an even bigger surprise.</w:t>
      </w:r>
    </w:p>
    <w:p>
      <w:pPr>
        <w:pStyle w:val="BodyText"/>
        <w:rPr/>
      </w:pPr>
      <w:r>
        <w:rPr/>
        <w:tab/>
        <w:t>The bottom line? LNG will be added to Contiguous U.S. natural gas supplies in calculating apparent demand and historical data will have the adjustment made to ensure consistency.</w:t>
      </w:r>
      <w:r>
        <w:br w:type="page"/>
      </w:r>
    </w:p>
    <w:p>
      <w:pPr>
        <w:pStyle w:val="BodyText"/>
        <w:rPr/>
      </w:pPr>
      <w:r>
        <w:rPr/>
      </w:r>
    </w:p>
    <w:p>
      <w:pPr>
        <w:pStyle w:val="BodyText"/>
        <w:rPr/>
      </w:pPr>
      <w:r>
        <w:rPr/>
      </w:r>
    </w:p>
    <w:tbl>
      <w:tblPr>
        <w:tblW w:w="10774" w:type="dxa"/>
        <w:jc w:val="start"/>
        <w:tblInd w:w="0" w:type="dxa"/>
        <w:tblLayout w:type="fixed"/>
        <w:tblCellMar>
          <w:top w:w="0" w:type="dxa"/>
          <w:start w:w="30" w:type="dxa"/>
          <w:bottom w:w="0" w:type="dxa"/>
          <w:end w:w="30" w:type="dxa"/>
        </w:tblCellMar>
      </w:tblPr>
      <w:tblGrid>
        <w:gridCol w:w="1668"/>
        <w:gridCol w:w="1409"/>
        <w:gridCol w:w="1041"/>
        <w:gridCol w:w="917"/>
        <w:gridCol w:w="917"/>
        <w:gridCol w:w="857"/>
        <w:gridCol w:w="902"/>
        <w:gridCol w:w="888"/>
        <w:gridCol w:w="1087"/>
        <w:gridCol w:w="1088"/>
      </w:tblGrid>
      <w:tr>
        <w:trPr>
          <w:trHeight w:val="240" w:hRule="atLeast"/>
        </w:trPr>
        <w:tc>
          <w:tcPr>
            <w:tcW w:w="8599" w:type="dxa"/>
            <w:gridSpan w:val="8"/>
            <w:tcBorders/>
          </w:tcPr>
          <w:p>
            <w:pPr>
              <w:pStyle w:val="Normal"/>
              <w:rPr>
                <w:rFonts w:ascii="Arial" w:hAnsi="Arial" w:eastAsia="Arial" w:cs="Arial"/>
                <w:b/>
                <w:bCs/>
                <w:color w:val="000000"/>
              </w:rPr>
            </w:pPr>
            <w:r>
              <w:rPr>
                <w:rFonts w:eastAsia="Arial" w:cs="Arial" w:ascii="Arial" w:hAnsi="Arial"/>
                <w:b/>
                <w:bCs/>
                <w:color w:val="000000"/>
              </w:rPr>
              <w:t>Comparison of U.S. Annual Natural Gas Imports and Exports by Type and Selected Sources</w:t>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0" w:type="dxa"/>
            <w:vMerge w:val="continue"/>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087"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088"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r>
      <w:tr>
        <w:trPr>
          <w:trHeight w:val="240" w:hRule="atLeast"/>
        </w:trPr>
        <w:tc>
          <w:tcPr>
            <w:tcW w:w="1668" w:type="dxa"/>
            <w:tcBorders/>
          </w:tcPr>
          <w:p>
            <w:pPr>
              <w:pStyle w:val="Normal"/>
              <w:rPr>
                <w:rFonts w:ascii="Arial" w:hAnsi="Arial" w:eastAsia="Arial" w:cs="Arial"/>
                <w:b/>
                <w:bCs/>
                <w:color w:val="000000"/>
              </w:rPr>
            </w:pPr>
            <w:r>
              <w:rPr>
                <w:rFonts w:eastAsia="Arial" w:cs="Arial" w:ascii="Arial" w:hAnsi="Arial"/>
                <w:b/>
                <w:bCs/>
                <w:color w:val="000000"/>
              </w:rPr>
              <w:t>BCFY</w:t>
            </w:r>
          </w:p>
        </w:tc>
        <w:tc>
          <w:tcPr>
            <w:tcW w:w="1409"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041"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917"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917"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857"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902"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888"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087"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c>
          <w:tcPr>
            <w:tcW w:w="1088" w:type="dxa"/>
            <w:tcBorders/>
          </w:tcPr>
          <w:p>
            <w:pPr>
              <w:pStyle w:val="Normal"/>
              <w:snapToGrid w:val="false"/>
              <w:jc w:val="end"/>
              <w:rPr>
                <w:rFonts w:ascii="Arial" w:hAnsi="Arial" w:eastAsia="Arial" w:cs="Arial"/>
                <w:b/>
                <w:bCs/>
                <w:color w:val="000000"/>
              </w:rPr>
            </w:pPr>
            <w:r>
              <w:rPr>
                <w:rFonts w:eastAsia="Arial" w:cs="Arial" w:ascii="Arial" w:hAnsi="Arial"/>
                <w:b/>
                <w:bCs/>
                <w:color w:val="000000"/>
              </w:rPr>
            </w:r>
          </w:p>
        </w:tc>
      </w:tr>
      <w:tr>
        <w:trPr>
          <w:trHeight w:val="720" w:hRule="atLeast"/>
        </w:trPr>
        <w:tc>
          <w:tcPr>
            <w:tcW w:w="1668" w:type="dxa"/>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409" w:type="dxa"/>
            <w:tcBorders/>
          </w:tcPr>
          <w:p>
            <w:pPr>
              <w:pStyle w:val="Normal"/>
              <w:snapToGrid w:val="false"/>
              <w:jc w:val="end"/>
              <w:rPr>
                <w:rFonts w:ascii="Arial" w:hAnsi="Arial" w:eastAsia="Arial" w:cs="Arial"/>
                <w:color w:val="000000"/>
              </w:rPr>
            </w:pPr>
            <w:r>
              <w:rPr>
                <w:rFonts w:eastAsia="Arial" w:cs="Arial" w:ascii="Arial" w:hAnsi="Arial"/>
                <w:color w:val="000000"/>
              </w:rPr>
            </w:r>
          </w:p>
        </w:tc>
        <w:tc>
          <w:tcPr>
            <w:tcW w:w="1041" w:type="dxa"/>
            <w:tcBorders/>
          </w:tcPr>
          <w:p>
            <w:pPr>
              <w:pStyle w:val="Normal"/>
              <w:jc w:val="center"/>
              <w:rPr>
                <w:rFonts w:ascii="Arial" w:hAnsi="Arial" w:eastAsia="Arial" w:cs="Arial"/>
                <w:b/>
                <w:bCs/>
                <w:color w:val="000000"/>
              </w:rPr>
            </w:pPr>
            <w:r>
              <w:rPr>
                <w:rFonts w:eastAsia="Arial" w:cs="Arial" w:ascii="Arial" w:hAnsi="Arial"/>
                <w:b/>
                <w:bCs/>
                <w:color w:val="000000"/>
              </w:rPr>
              <w:t>1995</w:t>
            </w:r>
          </w:p>
        </w:tc>
        <w:tc>
          <w:tcPr>
            <w:tcW w:w="917" w:type="dxa"/>
            <w:tcBorders/>
          </w:tcPr>
          <w:p>
            <w:pPr>
              <w:pStyle w:val="Normal"/>
              <w:jc w:val="center"/>
              <w:rPr>
                <w:rFonts w:ascii="Arial" w:hAnsi="Arial" w:eastAsia="Arial" w:cs="Arial"/>
                <w:b/>
                <w:bCs/>
                <w:color w:val="000000"/>
              </w:rPr>
            </w:pPr>
            <w:r>
              <w:rPr>
                <w:rFonts w:eastAsia="Arial" w:cs="Arial" w:ascii="Arial" w:hAnsi="Arial"/>
                <w:b/>
                <w:bCs/>
                <w:color w:val="000000"/>
              </w:rPr>
              <w:t>1996</w:t>
            </w:r>
          </w:p>
        </w:tc>
        <w:tc>
          <w:tcPr>
            <w:tcW w:w="917" w:type="dxa"/>
            <w:tcBorders/>
          </w:tcPr>
          <w:p>
            <w:pPr>
              <w:pStyle w:val="Normal"/>
              <w:jc w:val="center"/>
              <w:rPr>
                <w:rFonts w:ascii="Arial" w:hAnsi="Arial" w:eastAsia="Arial" w:cs="Arial"/>
                <w:b/>
                <w:bCs/>
                <w:color w:val="000000"/>
              </w:rPr>
            </w:pPr>
            <w:r>
              <w:rPr>
                <w:rFonts w:eastAsia="Arial" w:cs="Arial" w:ascii="Arial" w:hAnsi="Arial"/>
                <w:b/>
                <w:bCs/>
                <w:color w:val="000000"/>
              </w:rPr>
              <w:t>1997</w:t>
            </w:r>
          </w:p>
        </w:tc>
        <w:tc>
          <w:tcPr>
            <w:tcW w:w="857" w:type="dxa"/>
            <w:tcBorders/>
          </w:tcPr>
          <w:p>
            <w:pPr>
              <w:pStyle w:val="Normal"/>
              <w:jc w:val="center"/>
              <w:rPr>
                <w:rFonts w:ascii="Arial" w:hAnsi="Arial" w:eastAsia="Arial" w:cs="Arial"/>
                <w:b/>
                <w:bCs/>
                <w:color w:val="000000"/>
              </w:rPr>
            </w:pPr>
            <w:r>
              <w:rPr>
                <w:rFonts w:eastAsia="Arial" w:cs="Arial" w:ascii="Arial" w:hAnsi="Arial"/>
                <w:b/>
                <w:bCs/>
                <w:color w:val="000000"/>
              </w:rPr>
              <w:t>1998</w:t>
            </w:r>
          </w:p>
        </w:tc>
        <w:tc>
          <w:tcPr>
            <w:tcW w:w="902" w:type="dxa"/>
            <w:tcBorders/>
          </w:tcPr>
          <w:p>
            <w:pPr>
              <w:pStyle w:val="Normal"/>
              <w:jc w:val="center"/>
              <w:rPr>
                <w:rFonts w:ascii="Arial" w:hAnsi="Arial" w:eastAsia="Arial" w:cs="Arial"/>
                <w:b/>
                <w:bCs/>
                <w:color w:val="000000"/>
              </w:rPr>
            </w:pPr>
            <w:r>
              <w:rPr>
                <w:rFonts w:eastAsia="Arial" w:cs="Arial" w:ascii="Arial" w:hAnsi="Arial"/>
                <w:b/>
                <w:bCs/>
                <w:color w:val="000000"/>
              </w:rPr>
              <w:t>1999</w:t>
            </w:r>
          </w:p>
        </w:tc>
        <w:tc>
          <w:tcPr>
            <w:tcW w:w="888" w:type="dxa"/>
            <w:tcBorders/>
          </w:tcPr>
          <w:p>
            <w:pPr>
              <w:pStyle w:val="Normal"/>
              <w:jc w:val="center"/>
              <w:rPr>
                <w:rFonts w:ascii="Arial" w:hAnsi="Arial" w:eastAsia="Arial" w:cs="Arial"/>
                <w:b/>
                <w:bCs/>
                <w:color w:val="000000"/>
              </w:rPr>
            </w:pPr>
            <w:r>
              <w:rPr>
                <w:rFonts w:eastAsia="Arial" w:cs="Arial" w:ascii="Arial" w:hAnsi="Arial"/>
                <w:b/>
                <w:bCs/>
                <w:color w:val="000000"/>
              </w:rPr>
              <w:t>2000</w:t>
            </w:r>
          </w:p>
        </w:tc>
        <w:tc>
          <w:tcPr>
            <w:tcW w:w="1087" w:type="dxa"/>
            <w:tcBorders/>
          </w:tcPr>
          <w:p>
            <w:pPr>
              <w:pStyle w:val="Normal"/>
              <w:jc w:val="center"/>
              <w:rPr>
                <w:rFonts w:ascii="Arial" w:hAnsi="Arial" w:eastAsia="Arial" w:cs="Arial"/>
                <w:b/>
                <w:bCs/>
                <w:color w:val="000000"/>
              </w:rPr>
            </w:pPr>
            <w:r>
              <w:rPr>
                <w:rFonts w:eastAsia="Arial" w:cs="Arial" w:ascii="Arial" w:hAnsi="Arial"/>
                <w:b/>
                <w:bCs/>
                <w:color w:val="000000"/>
              </w:rPr>
              <w:t>% Change 1995-2000</w:t>
            </w:r>
          </w:p>
        </w:tc>
        <w:tc>
          <w:tcPr>
            <w:tcW w:w="1088" w:type="dxa"/>
            <w:tcBorders/>
          </w:tcPr>
          <w:p>
            <w:pPr>
              <w:pStyle w:val="Normal"/>
              <w:jc w:val="center"/>
              <w:rPr>
                <w:rFonts w:ascii="Arial" w:hAnsi="Arial" w:eastAsia="Arial" w:cs="Arial"/>
                <w:b/>
                <w:bCs/>
                <w:color w:val="000000"/>
              </w:rPr>
            </w:pPr>
            <w:r>
              <w:rPr>
                <w:rFonts w:eastAsia="Arial" w:cs="Arial" w:ascii="Arial" w:hAnsi="Arial"/>
                <w:b/>
                <w:bCs/>
                <w:color w:val="000000"/>
              </w:rPr>
              <w:t>% of Total, 2000</w:t>
            </w:r>
          </w:p>
        </w:tc>
      </w:tr>
      <w:tr>
        <w:trPr>
          <w:trHeight w:val="240" w:hRule="atLeast"/>
        </w:trPr>
        <w:tc>
          <w:tcPr>
            <w:tcW w:w="1668" w:type="dxa"/>
            <w:tcBorders/>
          </w:tcPr>
          <w:p>
            <w:pPr>
              <w:pStyle w:val="Normal"/>
              <w:jc w:val="center"/>
              <w:rPr>
                <w:rFonts w:ascii="Arial" w:hAnsi="Arial" w:eastAsia="Arial" w:cs="Arial"/>
                <w:b/>
                <w:bCs/>
                <w:color w:val="000000"/>
              </w:rPr>
            </w:pPr>
            <w:r>
              <w:rPr>
                <w:rFonts w:eastAsia="Arial" w:cs="Arial" w:ascii="Arial" w:hAnsi="Arial"/>
                <w:b/>
                <w:bCs/>
                <w:color w:val="000000"/>
              </w:rPr>
              <w:t>Total</w:t>
            </w:r>
          </w:p>
        </w:tc>
        <w:tc>
          <w:tcPr>
            <w:tcW w:w="1409" w:type="dxa"/>
            <w:tcBorders/>
          </w:tcPr>
          <w:p>
            <w:pPr>
              <w:pStyle w:val="Normal"/>
              <w:jc w:val="center"/>
              <w:rPr>
                <w:rFonts w:ascii="Arial" w:hAnsi="Arial" w:eastAsia="Arial" w:cs="Arial"/>
                <w:b/>
                <w:bCs/>
                <w:color w:val="000000"/>
              </w:rPr>
            </w:pPr>
            <w:r>
              <w:rPr>
                <w:rFonts w:eastAsia="Arial" w:cs="Arial" w:ascii="Arial" w:hAnsi="Arial"/>
                <w:b/>
                <w:bCs/>
                <w:color w:val="000000"/>
              </w:rPr>
              <w:t>All Imports</w:t>
            </w:r>
          </w:p>
        </w:tc>
        <w:tc>
          <w:tcPr>
            <w:tcW w:w="1041" w:type="dxa"/>
            <w:tcBorders/>
          </w:tcPr>
          <w:p>
            <w:pPr>
              <w:pStyle w:val="Normal"/>
              <w:jc w:val="center"/>
              <w:rPr>
                <w:rFonts w:ascii="Arial" w:hAnsi="Arial" w:eastAsia="Arial" w:cs="Arial"/>
                <w:b/>
                <w:bCs/>
                <w:color w:val="000000"/>
              </w:rPr>
            </w:pPr>
            <w:r>
              <w:rPr>
                <w:rFonts w:eastAsia="Arial" w:cs="Arial" w:ascii="Arial" w:hAnsi="Arial"/>
                <w:b/>
                <w:bCs/>
                <w:color w:val="000000"/>
              </w:rPr>
              <w:t>2841.0</w:t>
            </w:r>
          </w:p>
        </w:tc>
        <w:tc>
          <w:tcPr>
            <w:tcW w:w="917" w:type="dxa"/>
            <w:tcBorders/>
          </w:tcPr>
          <w:p>
            <w:pPr>
              <w:pStyle w:val="Normal"/>
              <w:jc w:val="center"/>
              <w:rPr>
                <w:rFonts w:ascii="Arial" w:hAnsi="Arial" w:eastAsia="Arial" w:cs="Arial"/>
                <w:b/>
                <w:bCs/>
                <w:color w:val="000000"/>
              </w:rPr>
            </w:pPr>
            <w:r>
              <w:rPr>
                <w:rFonts w:eastAsia="Arial" w:cs="Arial" w:ascii="Arial" w:hAnsi="Arial"/>
                <w:b/>
                <w:bCs/>
                <w:color w:val="000000"/>
              </w:rPr>
              <w:t>2937.4</w:t>
            </w:r>
          </w:p>
        </w:tc>
        <w:tc>
          <w:tcPr>
            <w:tcW w:w="917" w:type="dxa"/>
            <w:tcBorders/>
          </w:tcPr>
          <w:p>
            <w:pPr>
              <w:pStyle w:val="Normal"/>
              <w:jc w:val="center"/>
              <w:rPr>
                <w:rFonts w:ascii="Arial" w:hAnsi="Arial" w:eastAsia="Arial" w:cs="Arial"/>
                <w:b/>
                <w:bCs/>
                <w:color w:val="000000"/>
              </w:rPr>
            </w:pPr>
            <w:r>
              <w:rPr>
                <w:rFonts w:eastAsia="Arial" w:cs="Arial" w:ascii="Arial" w:hAnsi="Arial"/>
                <w:b/>
                <w:bCs/>
                <w:color w:val="000000"/>
              </w:rPr>
              <w:t>2994.2</w:t>
            </w:r>
          </w:p>
        </w:tc>
        <w:tc>
          <w:tcPr>
            <w:tcW w:w="857" w:type="dxa"/>
            <w:tcBorders/>
          </w:tcPr>
          <w:p>
            <w:pPr>
              <w:pStyle w:val="Normal"/>
              <w:jc w:val="center"/>
              <w:rPr>
                <w:rFonts w:ascii="Arial" w:hAnsi="Arial" w:eastAsia="Arial" w:cs="Arial"/>
                <w:b/>
                <w:bCs/>
                <w:color w:val="000000"/>
              </w:rPr>
            </w:pPr>
            <w:r>
              <w:rPr>
                <w:rFonts w:eastAsia="Arial" w:cs="Arial" w:ascii="Arial" w:hAnsi="Arial"/>
                <w:b/>
                <w:bCs/>
                <w:color w:val="000000"/>
              </w:rPr>
              <w:t>3152.1</w:t>
            </w:r>
          </w:p>
        </w:tc>
        <w:tc>
          <w:tcPr>
            <w:tcW w:w="902" w:type="dxa"/>
            <w:tcBorders/>
          </w:tcPr>
          <w:p>
            <w:pPr>
              <w:pStyle w:val="Normal"/>
              <w:jc w:val="center"/>
              <w:rPr>
                <w:rFonts w:ascii="Arial" w:hAnsi="Arial" w:eastAsia="Arial" w:cs="Arial"/>
                <w:b/>
                <w:bCs/>
                <w:color w:val="000000"/>
              </w:rPr>
            </w:pPr>
            <w:r>
              <w:rPr>
                <w:rFonts w:eastAsia="Arial" w:cs="Arial" w:ascii="Arial" w:hAnsi="Arial"/>
                <w:b/>
                <w:bCs/>
                <w:color w:val="000000"/>
              </w:rPr>
              <w:t>3536.4</w:t>
            </w:r>
          </w:p>
        </w:tc>
        <w:tc>
          <w:tcPr>
            <w:tcW w:w="888" w:type="dxa"/>
            <w:tcBorders/>
          </w:tcPr>
          <w:p>
            <w:pPr>
              <w:pStyle w:val="Normal"/>
              <w:jc w:val="center"/>
              <w:rPr>
                <w:rFonts w:ascii="Arial" w:hAnsi="Arial" w:eastAsia="Arial" w:cs="Arial"/>
                <w:b/>
                <w:bCs/>
                <w:color w:val="000000"/>
              </w:rPr>
            </w:pPr>
            <w:r>
              <w:rPr>
                <w:rFonts w:eastAsia="Arial" w:cs="Arial" w:ascii="Arial" w:hAnsi="Arial"/>
                <w:b/>
                <w:bCs/>
                <w:color w:val="000000"/>
              </w:rPr>
              <w:t>3806.8</w:t>
            </w:r>
          </w:p>
        </w:tc>
        <w:tc>
          <w:tcPr>
            <w:tcW w:w="1087" w:type="dxa"/>
            <w:tcBorders/>
          </w:tcPr>
          <w:p>
            <w:pPr>
              <w:pStyle w:val="Normal"/>
              <w:jc w:val="center"/>
              <w:rPr>
                <w:rFonts w:ascii="Arial" w:hAnsi="Arial" w:eastAsia="Arial" w:cs="Arial"/>
                <w:b/>
                <w:bCs/>
                <w:color w:val="000000"/>
              </w:rPr>
            </w:pPr>
            <w:r>
              <w:rPr>
                <w:rFonts w:eastAsia="Arial" w:cs="Arial" w:ascii="Arial" w:hAnsi="Arial"/>
                <w:b/>
                <w:bCs/>
                <w:color w:val="000000"/>
              </w:rPr>
              <w:t>34.0</w:t>
            </w:r>
          </w:p>
        </w:tc>
        <w:tc>
          <w:tcPr>
            <w:tcW w:w="1088" w:type="dxa"/>
            <w:tcBorders/>
          </w:tcPr>
          <w:p>
            <w:pPr>
              <w:pStyle w:val="Normal"/>
              <w:jc w:val="center"/>
              <w:rPr>
                <w:rFonts w:ascii="Arial" w:hAnsi="Arial" w:eastAsia="Arial" w:cs="Arial"/>
                <w:b/>
                <w:bCs/>
                <w:color w:val="000000"/>
              </w:rPr>
            </w:pPr>
            <w:r>
              <w:rPr>
                <w:rFonts w:eastAsia="Arial" w:cs="Arial" w:ascii="Arial" w:hAnsi="Arial"/>
                <w:b/>
                <w:bCs/>
                <w:color w:val="000000"/>
              </w:rPr>
              <w:t>100.0</w:t>
            </w:r>
          </w:p>
        </w:tc>
      </w:tr>
      <w:tr>
        <w:trPr>
          <w:trHeight w:val="480" w:hRule="atLeast"/>
        </w:trPr>
        <w:tc>
          <w:tcPr>
            <w:tcW w:w="1668" w:type="dxa"/>
            <w:tcBorders/>
          </w:tcPr>
          <w:p>
            <w:pPr>
              <w:pStyle w:val="Normal"/>
              <w:jc w:val="center"/>
              <w:rPr>
                <w:rFonts w:ascii="Arial" w:hAnsi="Arial" w:eastAsia="Arial" w:cs="Arial"/>
                <w:b/>
                <w:bCs/>
                <w:color w:val="000000"/>
              </w:rPr>
            </w:pPr>
            <w:r>
              <w:rPr>
                <w:rFonts w:eastAsia="Arial" w:cs="Arial" w:ascii="Arial" w:hAnsi="Arial"/>
                <w:b/>
                <w:bCs/>
                <w:color w:val="000000"/>
              </w:rPr>
              <w:t>Gross Pipeline Imports</w:t>
            </w:r>
          </w:p>
        </w:tc>
        <w:tc>
          <w:tcPr>
            <w:tcW w:w="1409" w:type="dxa"/>
            <w:tcBorders/>
          </w:tcPr>
          <w:p>
            <w:pPr>
              <w:pStyle w:val="Normal"/>
              <w:jc w:val="center"/>
              <w:rPr>
                <w:rFonts w:ascii="Arial" w:hAnsi="Arial" w:eastAsia="Arial" w:cs="Arial"/>
                <w:b/>
                <w:bCs/>
                <w:color w:val="000000"/>
              </w:rPr>
            </w:pPr>
            <w:r>
              <w:rPr>
                <w:rFonts w:eastAsia="Arial" w:cs="Arial" w:ascii="Arial" w:hAnsi="Arial"/>
                <w:b/>
                <w:bCs/>
                <w:color w:val="000000"/>
              </w:rPr>
              <w:t>Canada, Mexico</w:t>
            </w:r>
          </w:p>
        </w:tc>
        <w:tc>
          <w:tcPr>
            <w:tcW w:w="1041" w:type="dxa"/>
            <w:tcBorders/>
          </w:tcPr>
          <w:p>
            <w:pPr>
              <w:pStyle w:val="Normal"/>
              <w:jc w:val="center"/>
              <w:rPr>
                <w:rFonts w:ascii="Arial" w:hAnsi="Arial" w:eastAsia="Arial" w:cs="Arial"/>
                <w:color w:val="000000"/>
              </w:rPr>
            </w:pPr>
            <w:r>
              <w:rPr>
                <w:rFonts w:eastAsia="Arial" w:cs="Arial" w:ascii="Arial" w:hAnsi="Arial"/>
                <w:color w:val="000000"/>
              </w:rPr>
              <w:t>2823.1</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2897.1</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2916.4</w:t>
            </w:r>
          </w:p>
        </w:tc>
        <w:tc>
          <w:tcPr>
            <w:tcW w:w="857" w:type="dxa"/>
            <w:tcBorders/>
          </w:tcPr>
          <w:p>
            <w:pPr>
              <w:pStyle w:val="Normal"/>
              <w:jc w:val="center"/>
              <w:rPr>
                <w:rFonts w:ascii="Arial" w:hAnsi="Arial" w:eastAsia="Arial" w:cs="Arial"/>
                <w:color w:val="000000"/>
              </w:rPr>
            </w:pPr>
            <w:r>
              <w:rPr>
                <w:rFonts w:eastAsia="Arial" w:cs="Arial" w:ascii="Arial" w:hAnsi="Arial"/>
                <w:color w:val="000000"/>
              </w:rPr>
              <w:t>3066.6</w:t>
            </w:r>
          </w:p>
        </w:tc>
        <w:tc>
          <w:tcPr>
            <w:tcW w:w="902" w:type="dxa"/>
            <w:tcBorders/>
          </w:tcPr>
          <w:p>
            <w:pPr>
              <w:pStyle w:val="Normal"/>
              <w:jc w:val="center"/>
              <w:rPr>
                <w:rFonts w:ascii="Arial" w:hAnsi="Arial" w:eastAsia="Arial" w:cs="Arial"/>
                <w:color w:val="000000"/>
              </w:rPr>
            </w:pPr>
            <w:r>
              <w:rPr>
                <w:rFonts w:eastAsia="Arial" w:cs="Arial" w:ascii="Arial" w:hAnsi="Arial"/>
                <w:color w:val="000000"/>
              </w:rPr>
              <w:t>3373.0</w:t>
            </w:r>
          </w:p>
        </w:tc>
        <w:tc>
          <w:tcPr>
            <w:tcW w:w="888" w:type="dxa"/>
            <w:tcBorders/>
          </w:tcPr>
          <w:p>
            <w:pPr>
              <w:pStyle w:val="Normal"/>
              <w:jc w:val="center"/>
              <w:rPr>
                <w:rFonts w:ascii="Arial" w:hAnsi="Arial" w:eastAsia="Arial" w:cs="Arial"/>
                <w:color w:val="000000"/>
              </w:rPr>
            </w:pPr>
            <w:r>
              <w:rPr>
                <w:rFonts w:eastAsia="Arial" w:cs="Arial" w:ascii="Arial" w:hAnsi="Arial"/>
                <w:color w:val="000000"/>
              </w:rPr>
              <w:t>3575.0</w:t>
            </w:r>
          </w:p>
        </w:tc>
        <w:tc>
          <w:tcPr>
            <w:tcW w:w="1087" w:type="dxa"/>
            <w:tcBorders/>
          </w:tcPr>
          <w:p>
            <w:pPr>
              <w:pStyle w:val="Normal"/>
              <w:jc w:val="center"/>
              <w:rPr>
                <w:rFonts w:ascii="Arial" w:hAnsi="Arial" w:eastAsia="Arial" w:cs="Arial"/>
                <w:color w:val="000000"/>
              </w:rPr>
            </w:pPr>
            <w:r>
              <w:rPr>
                <w:rFonts w:eastAsia="Arial" w:cs="Arial" w:ascii="Arial" w:hAnsi="Arial"/>
                <w:color w:val="000000"/>
              </w:rPr>
              <w:t>26.6</w:t>
            </w:r>
          </w:p>
        </w:tc>
        <w:tc>
          <w:tcPr>
            <w:tcW w:w="1088" w:type="dxa"/>
            <w:tcBorders/>
          </w:tcPr>
          <w:p>
            <w:pPr>
              <w:pStyle w:val="Normal"/>
              <w:jc w:val="center"/>
              <w:rPr>
                <w:rFonts w:ascii="Arial" w:hAnsi="Arial" w:eastAsia="Arial" w:cs="Arial"/>
                <w:color w:val="000000"/>
              </w:rPr>
            </w:pPr>
            <w:r>
              <w:rPr>
                <w:rFonts w:eastAsia="Arial" w:cs="Arial" w:ascii="Arial" w:hAnsi="Arial"/>
                <w:color w:val="000000"/>
              </w:rPr>
              <w:t>93.9</w:t>
            </w:r>
          </w:p>
        </w:tc>
      </w:tr>
      <w:tr>
        <w:trPr>
          <w:trHeight w:val="240" w:hRule="atLeast"/>
        </w:trPr>
        <w:tc>
          <w:tcPr>
            <w:tcW w:w="1668" w:type="dxa"/>
            <w:tcBorders/>
          </w:tcPr>
          <w:p>
            <w:pPr>
              <w:pStyle w:val="Normal"/>
              <w:rPr>
                <w:rFonts w:ascii="Arial" w:hAnsi="Arial" w:eastAsia="Arial" w:cs="Arial"/>
                <w:color w:val="000000"/>
              </w:rPr>
            </w:pPr>
            <w:r>
              <w:rPr>
                <w:rFonts w:eastAsia="Arial" w:cs="Arial" w:ascii="Arial" w:hAnsi="Arial"/>
                <w:color w:val="000000"/>
              </w:rPr>
              <w:t>Pipeline Exports</w:t>
            </w:r>
          </w:p>
        </w:tc>
        <w:tc>
          <w:tcPr>
            <w:tcW w:w="1409" w:type="dxa"/>
            <w:tcBorders/>
          </w:tcPr>
          <w:p>
            <w:pPr>
              <w:pStyle w:val="Normal"/>
              <w:jc w:val="center"/>
              <w:rPr>
                <w:rFonts w:ascii="Arial" w:hAnsi="Arial" w:eastAsia="Arial" w:cs="Arial"/>
                <w:color w:val="000000"/>
              </w:rPr>
            </w:pPr>
            <w:r>
              <w:rPr>
                <w:rFonts w:eastAsia="Arial" w:cs="Arial" w:ascii="Arial" w:hAnsi="Arial"/>
                <w:color w:val="000000"/>
              </w:rPr>
              <w:t>Canada</w:t>
            </w:r>
          </w:p>
        </w:tc>
        <w:tc>
          <w:tcPr>
            <w:tcW w:w="1041" w:type="dxa"/>
            <w:tcBorders/>
          </w:tcPr>
          <w:p>
            <w:pPr>
              <w:pStyle w:val="Normal"/>
              <w:jc w:val="center"/>
              <w:rPr>
                <w:rFonts w:ascii="Arial" w:hAnsi="Arial" w:eastAsia="Arial" w:cs="Arial"/>
                <w:color w:val="000000"/>
              </w:rPr>
            </w:pPr>
            <w:r>
              <w:rPr>
                <w:rFonts w:eastAsia="Arial" w:cs="Arial" w:ascii="Arial" w:hAnsi="Arial"/>
                <w:color w:val="000000"/>
              </w:rPr>
              <w:t>27.5</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51.9</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56.4</w:t>
            </w:r>
          </w:p>
        </w:tc>
        <w:tc>
          <w:tcPr>
            <w:tcW w:w="857" w:type="dxa"/>
            <w:tcBorders/>
          </w:tcPr>
          <w:p>
            <w:pPr>
              <w:pStyle w:val="Normal"/>
              <w:jc w:val="center"/>
              <w:rPr>
                <w:rFonts w:ascii="Arial" w:hAnsi="Arial" w:eastAsia="Arial" w:cs="Arial"/>
                <w:color w:val="000000"/>
              </w:rPr>
            </w:pPr>
            <w:r>
              <w:rPr>
                <w:rFonts w:eastAsia="Arial" w:cs="Arial" w:ascii="Arial" w:hAnsi="Arial"/>
                <w:color w:val="000000"/>
              </w:rPr>
              <w:t>39.9</w:t>
            </w:r>
          </w:p>
        </w:tc>
        <w:tc>
          <w:tcPr>
            <w:tcW w:w="902" w:type="dxa"/>
            <w:tcBorders/>
          </w:tcPr>
          <w:p>
            <w:pPr>
              <w:pStyle w:val="Normal"/>
              <w:jc w:val="center"/>
              <w:rPr>
                <w:rFonts w:ascii="Arial" w:hAnsi="Arial" w:eastAsia="Arial" w:cs="Arial"/>
                <w:color w:val="000000"/>
              </w:rPr>
            </w:pPr>
            <w:r>
              <w:rPr>
                <w:rFonts w:eastAsia="Arial" w:cs="Arial" w:ascii="Arial" w:hAnsi="Arial"/>
                <w:color w:val="000000"/>
              </w:rPr>
              <w:t>38.5</w:t>
            </w:r>
          </w:p>
        </w:tc>
        <w:tc>
          <w:tcPr>
            <w:tcW w:w="888" w:type="dxa"/>
            <w:tcBorders/>
          </w:tcPr>
          <w:p>
            <w:pPr>
              <w:pStyle w:val="Normal"/>
              <w:jc w:val="center"/>
              <w:rPr>
                <w:rFonts w:ascii="Arial" w:hAnsi="Arial" w:eastAsia="Arial" w:cs="Arial"/>
                <w:color w:val="000000"/>
              </w:rPr>
            </w:pPr>
            <w:r>
              <w:rPr>
                <w:rFonts w:eastAsia="Arial" w:cs="Arial" w:ascii="Arial" w:hAnsi="Arial"/>
                <w:color w:val="000000"/>
              </w:rPr>
              <w:t>62.8</w:t>
            </w:r>
          </w:p>
        </w:tc>
        <w:tc>
          <w:tcPr>
            <w:tcW w:w="1087" w:type="dxa"/>
            <w:tcBorders/>
          </w:tcPr>
          <w:p>
            <w:pPr>
              <w:pStyle w:val="Normal"/>
              <w:jc w:val="center"/>
              <w:rPr>
                <w:rFonts w:ascii="Arial" w:hAnsi="Arial" w:eastAsia="Arial" w:cs="Arial"/>
                <w:color w:val="000000"/>
              </w:rPr>
            </w:pPr>
            <w:r>
              <w:rPr>
                <w:rFonts w:eastAsia="Arial" w:cs="Arial" w:ascii="Arial" w:hAnsi="Arial"/>
                <w:color w:val="000000"/>
              </w:rPr>
              <w:t>128.4</w:t>
            </w:r>
          </w:p>
        </w:tc>
        <w:tc>
          <w:tcPr>
            <w:tcW w:w="1088" w:type="dxa"/>
            <w:tcBorders/>
          </w:tcPr>
          <w:p>
            <w:pPr>
              <w:pStyle w:val="Normal"/>
              <w:jc w:val="center"/>
              <w:rPr>
                <w:rFonts w:ascii="Arial" w:hAnsi="Arial" w:eastAsia="Arial" w:cs="Arial"/>
                <w:color w:val="000000"/>
              </w:rPr>
            </w:pPr>
            <w:r>
              <w:rPr>
                <w:rFonts w:eastAsia="Arial" w:cs="Arial" w:ascii="Arial" w:hAnsi="Arial"/>
                <w:color w:val="000000"/>
              </w:rPr>
              <w:t>36.4</w:t>
            </w:r>
          </w:p>
        </w:tc>
      </w:tr>
      <w:tr>
        <w:trPr>
          <w:trHeight w:val="240" w:hRule="atLeast"/>
        </w:trPr>
        <w:tc>
          <w:tcPr>
            <w:tcW w:w="1668" w:type="dxa"/>
            <w:tcBorders/>
          </w:tcPr>
          <w:p>
            <w:pPr>
              <w:pStyle w:val="Normal"/>
              <w:rPr>
                <w:rFonts w:ascii="Arial" w:hAnsi="Arial" w:eastAsia="Arial" w:cs="Arial"/>
                <w:color w:val="000000"/>
              </w:rPr>
            </w:pPr>
            <w:r>
              <w:rPr>
                <w:rFonts w:eastAsia="Arial" w:cs="Arial" w:ascii="Arial" w:hAnsi="Arial"/>
                <w:color w:val="000000"/>
              </w:rPr>
              <w:t>Pipeline Exports</w:t>
            </w:r>
          </w:p>
        </w:tc>
        <w:tc>
          <w:tcPr>
            <w:tcW w:w="1409" w:type="dxa"/>
            <w:tcBorders/>
          </w:tcPr>
          <w:p>
            <w:pPr>
              <w:pStyle w:val="Normal"/>
              <w:jc w:val="center"/>
              <w:rPr>
                <w:rFonts w:ascii="Arial" w:hAnsi="Arial" w:eastAsia="Arial" w:cs="Arial"/>
                <w:color w:val="000000"/>
              </w:rPr>
            </w:pPr>
            <w:r>
              <w:rPr>
                <w:rFonts w:eastAsia="Arial" w:cs="Arial" w:ascii="Arial" w:hAnsi="Arial"/>
                <w:color w:val="000000"/>
              </w:rPr>
              <w:t>Mexico</w:t>
            </w:r>
          </w:p>
        </w:tc>
        <w:tc>
          <w:tcPr>
            <w:tcW w:w="1041" w:type="dxa"/>
            <w:tcBorders/>
          </w:tcPr>
          <w:p>
            <w:pPr>
              <w:pStyle w:val="Normal"/>
              <w:jc w:val="center"/>
              <w:rPr>
                <w:rFonts w:ascii="Arial" w:hAnsi="Arial" w:eastAsia="Arial" w:cs="Arial"/>
                <w:color w:val="000000"/>
              </w:rPr>
            </w:pPr>
            <w:r>
              <w:rPr>
                <w:rFonts w:eastAsia="Arial" w:cs="Arial" w:ascii="Arial" w:hAnsi="Arial"/>
                <w:color w:val="000000"/>
              </w:rPr>
              <w:t>61.3</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33.8</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38.4</w:t>
            </w:r>
          </w:p>
        </w:tc>
        <w:tc>
          <w:tcPr>
            <w:tcW w:w="857" w:type="dxa"/>
            <w:tcBorders/>
          </w:tcPr>
          <w:p>
            <w:pPr>
              <w:pStyle w:val="Normal"/>
              <w:jc w:val="center"/>
              <w:rPr>
                <w:rFonts w:ascii="Arial" w:hAnsi="Arial" w:eastAsia="Arial" w:cs="Arial"/>
                <w:color w:val="000000"/>
              </w:rPr>
            </w:pPr>
            <w:r>
              <w:rPr>
                <w:rFonts w:eastAsia="Arial" w:cs="Arial" w:ascii="Arial" w:hAnsi="Arial"/>
                <w:color w:val="000000"/>
              </w:rPr>
              <w:t>53.1</w:t>
            </w:r>
          </w:p>
        </w:tc>
        <w:tc>
          <w:tcPr>
            <w:tcW w:w="902" w:type="dxa"/>
            <w:tcBorders/>
          </w:tcPr>
          <w:p>
            <w:pPr>
              <w:pStyle w:val="Normal"/>
              <w:jc w:val="center"/>
              <w:rPr>
                <w:rFonts w:ascii="Arial" w:hAnsi="Arial" w:eastAsia="Arial" w:cs="Arial"/>
                <w:color w:val="000000"/>
              </w:rPr>
            </w:pPr>
            <w:r>
              <w:rPr>
                <w:rFonts w:eastAsia="Arial" w:cs="Arial" w:ascii="Arial" w:hAnsi="Arial"/>
                <w:color w:val="000000"/>
              </w:rPr>
              <w:t>61</w:t>
            </w:r>
          </w:p>
        </w:tc>
        <w:tc>
          <w:tcPr>
            <w:tcW w:w="888" w:type="dxa"/>
            <w:tcBorders/>
          </w:tcPr>
          <w:p>
            <w:pPr>
              <w:pStyle w:val="Normal"/>
              <w:jc w:val="center"/>
              <w:rPr>
                <w:rFonts w:ascii="Arial" w:hAnsi="Arial" w:eastAsia="Arial" w:cs="Arial"/>
                <w:color w:val="000000"/>
              </w:rPr>
            </w:pPr>
            <w:r>
              <w:rPr>
                <w:rFonts w:eastAsia="Arial" w:cs="Arial" w:ascii="Arial" w:hAnsi="Arial"/>
                <w:color w:val="000000"/>
              </w:rPr>
              <w:t>109.7</w:t>
            </w:r>
          </w:p>
        </w:tc>
        <w:tc>
          <w:tcPr>
            <w:tcW w:w="1087" w:type="dxa"/>
            <w:tcBorders/>
          </w:tcPr>
          <w:p>
            <w:pPr>
              <w:pStyle w:val="Normal"/>
              <w:jc w:val="center"/>
              <w:rPr>
                <w:rFonts w:ascii="Arial" w:hAnsi="Arial" w:eastAsia="Arial" w:cs="Arial"/>
                <w:color w:val="000000"/>
              </w:rPr>
            </w:pPr>
            <w:r>
              <w:rPr>
                <w:rFonts w:eastAsia="Arial" w:cs="Arial" w:ascii="Arial" w:hAnsi="Arial"/>
                <w:color w:val="000000"/>
              </w:rPr>
              <w:t>79.0</w:t>
            </w:r>
          </w:p>
        </w:tc>
        <w:tc>
          <w:tcPr>
            <w:tcW w:w="1088" w:type="dxa"/>
            <w:tcBorders/>
          </w:tcPr>
          <w:p>
            <w:pPr>
              <w:pStyle w:val="Normal"/>
              <w:jc w:val="center"/>
              <w:rPr>
                <w:rFonts w:ascii="Arial" w:hAnsi="Arial" w:eastAsia="Arial" w:cs="Arial"/>
                <w:color w:val="000000"/>
              </w:rPr>
            </w:pPr>
            <w:r>
              <w:rPr>
                <w:rFonts w:eastAsia="Arial" w:cs="Arial" w:ascii="Arial" w:hAnsi="Arial"/>
                <w:color w:val="000000"/>
              </w:rPr>
              <w:t>63.6</w:t>
            </w:r>
          </w:p>
        </w:tc>
      </w:tr>
      <w:tr>
        <w:trPr>
          <w:trHeight w:val="240" w:hRule="atLeast"/>
        </w:trPr>
        <w:tc>
          <w:tcPr>
            <w:tcW w:w="1668" w:type="dxa"/>
            <w:tcBorders/>
          </w:tcPr>
          <w:p>
            <w:pPr>
              <w:pStyle w:val="Normal"/>
              <w:jc w:val="center"/>
              <w:rPr>
                <w:rFonts w:ascii="Arial" w:hAnsi="Arial" w:eastAsia="Arial" w:cs="Arial"/>
                <w:b/>
                <w:bCs/>
                <w:color w:val="000000"/>
              </w:rPr>
            </w:pPr>
            <w:r>
              <w:rPr>
                <w:rFonts w:eastAsia="Arial" w:cs="Arial" w:ascii="Arial" w:hAnsi="Arial"/>
                <w:b/>
                <w:bCs/>
                <w:color w:val="000000"/>
              </w:rPr>
              <w:t>LNG Imports</w:t>
            </w:r>
          </w:p>
        </w:tc>
        <w:tc>
          <w:tcPr>
            <w:tcW w:w="1409" w:type="dxa"/>
            <w:tcBorders/>
          </w:tcPr>
          <w:p>
            <w:pPr>
              <w:pStyle w:val="Normal"/>
              <w:jc w:val="center"/>
              <w:rPr>
                <w:rFonts w:ascii="Arial" w:hAnsi="Arial" w:eastAsia="Arial" w:cs="Arial"/>
                <w:color w:val="000000"/>
              </w:rPr>
            </w:pPr>
            <w:r>
              <w:rPr>
                <w:rFonts w:eastAsia="Arial" w:cs="Arial" w:ascii="Arial" w:hAnsi="Arial"/>
                <w:color w:val="000000"/>
              </w:rPr>
              <w:t>All</w:t>
            </w:r>
          </w:p>
        </w:tc>
        <w:tc>
          <w:tcPr>
            <w:tcW w:w="1041" w:type="dxa"/>
            <w:tcBorders/>
          </w:tcPr>
          <w:p>
            <w:pPr>
              <w:pStyle w:val="Normal"/>
              <w:jc w:val="center"/>
              <w:rPr>
                <w:rFonts w:ascii="Arial" w:hAnsi="Arial" w:eastAsia="Arial" w:cs="Arial"/>
                <w:color w:val="000000"/>
              </w:rPr>
            </w:pPr>
            <w:r>
              <w:rPr>
                <w:rFonts w:eastAsia="Arial" w:cs="Arial" w:ascii="Arial" w:hAnsi="Arial"/>
                <w:color w:val="000000"/>
              </w:rPr>
              <w:t>17.9</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40.3</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77.8</w:t>
            </w:r>
          </w:p>
        </w:tc>
        <w:tc>
          <w:tcPr>
            <w:tcW w:w="857" w:type="dxa"/>
            <w:tcBorders/>
          </w:tcPr>
          <w:p>
            <w:pPr>
              <w:pStyle w:val="Normal"/>
              <w:jc w:val="center"/>
              <w:rPr>
                <w:rFonts w:ascii="Arial" w:hAnsi="Arial" w:eastAsia="Arial" w:cs="Arial"/>
                <w:color w:val="000000"/>
              </w:rPr>
            </w:pPr>
            <w:r>
              <w:rPr>
                <w:rFonts w:eastAsia="Arial" w:cs="Arial" w:ascii="Arial" w:hAnsi="Arial"/>
                <w:color w:val="000000"/>
              </w:rPr>
              <w:t>85.5</w:t>
            </w:r>
          </w:p>
        </w:tc>
        <w:tc>
          <w:tcPr>
            <w:tcW w:w="902" w:type="dxa"/>
            <w:tcBorders/>
          </w:tcPr>
          <w:p>
            <w:pPr>
              <w:pStyle w:val="Normal"/>
              <w:jc w:val="center"/>
              <w:rPr>
                <w:rFonts w:ascii="Arial" w:hAnsi="Arial" w:eastAsia="Arial" w:cs="Arial"/>
                <w:color w:val="000000"/>
              </w:rPr>
            </w:pPr>
            <w:r>
              <w:rPr>
                <w:rFonts w:eastAsia="Arial" w:cs="Arial" w:ascii="Arial" w:hAnsi="Arial"/>
                <w:color w:val="000000"/>
              </w:rPr>
              <w:t>163.4</w:t>
            </w:r>
          </w:p>
        </w:tc>
        <w:tc>
          <w:tcPr>
            <w:tcW w:w="888" w:type="dxa"/>
            <w:tcBorders/>
          </w:tcPr>
          <w:p>
            <w:pPr>
              <w:pStyle w:val="Normal"/>
              <w:jc w:val="center"/>
              <w:rPr>
                <w:rFonts w:ascii="Arial" w:hAnsi="Arial" w:eastAsia="Arial" w:cs="Arial"/>
                <w:color w:val="000000"/>
              </w:rPr>
            </w:pPr>
            <w:r>
              <w:rPr>
                <w:rFonts w:eastAsia="Arial" w:cs="Arial" w:ascii="Arial" w:hAnsi="Arial"/>
                <w:color w:val="000000"/>
              </w:rPr>
              <w:t>231.8</w:t>
            </w:r>
          </w:p>
        </w:tc>
        <w:tc>
          <w:tcPr>
            <w:tcW w:w="1087" w:type="dxa"/>
            <w:tcBorders/>
          </w:tcPr>
          <w:p>
            <w:pPr>
              <w:pStyle w:val="Normal"/>
              <w:jc w:val="center"/>
              <w:rPr>
                <w:rFonts w:ascii="Arial" w:hAnsi="Arial" w:eastAsia="Arial" w:cs="Arial"/>
                <w:color w:val="000000"/>
              </w:rPr>
            </w:pPr>
            <w:r>
              <w:rPr>
                <w:rFonts w:eastAsia="Arial" w:cs="Arial" w:ascii="Arial" w:hAnsi="Arial"/>
                <w:color w:val="000000"/>
              </w:rPr>
              <w:t>1193.7</w:t>
            </w:r>
          </w:p>
        </w:tc>
        <w:tc>
          <w:tcPr>
            <w:tcW w:w="1088" w:type="dxa"/>
            <w:tcBorders/>
          </w:tcPr>
          <w:p>
            <w:pPr>
              <w:pStyle w:val="Normal"/>
              <w:jc w:val="center"/>
              <w:rPr>
                <w:rFonts w:ascii="Arial" w:hAnsi="Arial" w:eastAsia="Arial" w:cs="Arial"/>
                <w:color w:val="000000"/>
              </w:rPr>
            </w:pPr>
            <w:r>
              <w:rPr>
                <w:rFonts w:eastAsia="Arial" w:cs="Arial" w:ascii="Arial" w:hAnsi="Arial"/>
                <w:color w:val="000000"/>
              </w:rPr>
              <w:t>6.1</w:t>
            </w:r>
          </w:p>
        </w:tc>
      </w:tr>
      <w:tr>
        <w:trPr>
          <w:trHeight w:val="240" w:hRule="atLeast"/>
        </w:trPr>
        <w:tc>
          <w:tcPr>
            <w:tcW w:w="1668" w:type="dxa"/>
            <w:tcBorders/>
          </w:tcPr>
          <w:p>
            <w:pPr>
              <w:pStyle w:val="Normal"/>
              <w:jc w:val="center"/>
              <w:rPr>
                <w:rFonts w:ascii="Arial" w:hAnsi="Arial" w:eastAsia="Arial" w:cs="Arial"/>
                <w:b/>
                <w:bCs/>
                <w:color w:val="000000"/>
              </w:rPr>
            </w:pPr>
            <w:r>
              <w:rPr>
                <w:rFonts w:eastAsia="Arial" w:cs="Arial" w:ascii="Arial" w:hAnsi="Arial"/>
                <w:b/>
                <w:bCs/>
                <w:color w:val="000000"/>
              </w:rPr>
              <w:t>LNG  Exports</w:t>
            </w:r>
          </w:p>
        </w:tc>
        <w:tc>
          <w:tcPr>
            <w:tcW w:w="1409" w:type="dxa"/>
            <w:tcBorders/>
          </w:tcPr>
          <w:p>
            <w:pPr>
              <w:pStyle w:val="Normal"/>
              <w:jc w:val="center"/>
              <w:rPr>
                <w:rFonts w:ascii="Arial" w:hAnsi="Arial" w:eastAsia="Arial" w:cs="Arial"/>
                <w:color w:val="000000"/>
              </w:rPr>
            </w:pPr>
            <w:r>
              <w:rPr>
                <w:rFonts w:eastAsia="Arial" w:cs="Arial" w:ascii="Arial" w:hAnsi="Arial"/>
                <w:color w:val="000000"/>
              </w:rPr>
              <w:t>All</w:t>
            </w:r>
          </w:p>
        </w:tc>
        <w:tc>
          <w:tcPr>
            <w:tcW w:w="1041" w:type="dxa"/>
            <w:tcBorders/>
          </w:tcPr>
          <w:p>
            <w:pPr>
              <w:pStyle w:val="Normal"/>
              <w:jc w:val="center"/>
              <w:rPr>
                <w:rFonts w:ascii="Arial" w:hAnsi="Arial" w:eastAsia="Arial" w:cs="Arial"/>
                <w:color w:val="000000"/>
              </w:rPr>
            </w:pPr>
            <w:r>
              <w:rPr>
                <w:rFonts w:eastAsia="Arial" w:cs="Arial" w:ascii="Arial" w:hAnsi="Arial"/>
                <w:color w:val="000000"/>
              </w:rPr>
              <w:t>88.8</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85.7</w:t>
            </w:r>
          </w:p>
        </w:tc>
        <w:tc>
          <w:tcPr>
            <w:tcW w:w="917" w:type="dxa"/>
            <w:tcBorders/>
          </w:tcPr>
          <w:p>
            <w:pPr>
              <w:pStyle w:val="Normal"/>
              <w:jc w:val="center"/>
              <w:rPr>
                <w:rFonts w:ascii="Arial" w:hAnsi="Arial" w:eastAsia="Arial" w:cs="Arial"/>
                <w:color w:val="000000"/>
              </w:rPr>
            </w:pPr>
            <w:r>
              <w:rPr>
                <w:rFonts w:eastAsia="Arial" w:cs="Arial" w:ascii="Arial" w:hAnsi="Arial"/>
                <w:color w:val="000000"/>
              </w:rPr>
              <w:t>94.8</w:t>
            </w:r>
          </w:p>
        </w:tc>
        <w:tc>
          <w:tcPr>
            <w:tcW w:w="857" w:type="dxa"/>
            <w:tcBorders/>
          </w:tcPr>
          <w:p>
            <w:pPr>
              <w:pStyle w:val="Normal"/>
              <w:jc w:val="center"/>
              <w:rPr>
                <w:rFonts w:ascii="Arial" w:hAnsi="Arial" w:eastAsia="Arial" w:cs="Arial"/>
                <w:color w:val="000000"/>
              </w:rPr>
            </w:pPr>
            <w:r>
              <w:rPr>
                <w:rFonts w:eastAsia="Arial" w:cs="Arial" w:ascii="Arial" w:hAnsi="Arial"/>
                <w:color w:val="000000"/>
              </w:rPr>
              <w:t>93.0</w:t>
            </w:r>
          </w:p>
        </w:tc>
        <w:tc>
          <w:tcPr>
            <w:tcW w:w="902" w:type="dxa"/>
            <w:tcBorders/>
          </w:tcPr>
          <w:p>
            <w:pPr>
              <w:pStyle w:val="Normal"/>
              <w:jc w:val="center"/>
              <w:rPr>
                <w:rFonts w:ascii="Arial" w:hAnsi="Arial" w:eastAsia="Arial" w:cs="Arial"/>
                <w:color w:val="000000"/>
              </w:rPr>
            </w:pPr>
            <w:r>
              <w:rPr>
                <w:rFonts w:eastAsia="Arial" w:cs="Arial" w:ascii="Arial" w:hAnsi="Arial"/>
                <w:color w:val="000000"/>
              </w:rPr>
              <w:t>99.5</w:t>
            </w:r>
          </w:p>
        </w:tc>
        <w:tc>
          <w:tcPr>
            <w:tcW w:w="888" w:type="dxa"/>
            <w:tcBorders/>
          </w:tcPr>
          <w:p>
            <w:pPr>
              <w:pStyle w:val="Normal"/>
              <w:jc w:val="center"/>
              <w:rPr>
                <w:rFonts w:ascii="Arial" w:hAnsi="Arial" w:eastAsia="Arial" w:cs="Arial"/>
                <w:color w:val="000000"/>
              </w:rPr>
            </w:pPr>
            <w:r>
              <w:rPr>
                <w:rFonts w:eastAsia="Arial" w:cs="Arial" w:ascii="Arial" w:hAnsi="Arial"/>
                <w:color w:val="000000"/>
              </w:rPr>
              <w:t>172.5</w:t>
            </w:r>
          </w:p>
        </w:tc>
        <w:tc>
          <w:tcPr>
            <w:tcW w:w="1087" w:type="dxa"/>
            <w:tcBorders/>
          </w:tcPr>
          <w:p>
            <w:pPr>
              <w:pStyle w:val="Normal"/>
              <w:jc w:val="center"/>
              <w:rPr>
                <w:rFonts w:ascii="Arial" w:hAnsi="Arial" w:eastAsia="Arial" w:cs="Arial"/>
                <w:color w:val="000000"/>
              </w:rPr>
            </w:pPr>
            <w:r>
              <w:rPr>
                <w:rFonts w:eastAsia="Arial" w:cs="Arial" w:ascii="Arial" w:hAnsi="Arial"/>
                <w:color w:val="000000"/>
              </w:rPr>
              <w:t>94.3</w:t>
            </w:r>
          </w:p>
        </w:tc>
        <w:tc>
          <w:tcPr>
            <w:tcW w:w="1088" w:type="dxa"/>
            <w:tcBorders/>
          </w:tcPr>
          <w:p>
            <w:pPr>
              <w:pStyle w:val="Normal"/>
              <w:jc w:val="center"/>
              <w:rPr>
                <w:rFonts w:ascii="Arial" w:hAnsi="Arial" w:eastAsia="Arial" w:cs="Arial"/>
                <w:color w:val="000000"/>
              </w:rPr>
            </w:pPr>
            <w:r>
              <w:rPr>
                <w:rFonts w:eastAsia="Arial" w:cs="Arial" w:ascii="Arial" w:hAnsi="Arial"/>
                <w:color w:val="000000"/>
              </w:rPr>
              <w:t>100.0</w:t>
            </w:r>
          </w:p>
        </w:tc>
      </w:tr>
      <w:tr>
        <w:trPr>
          <w:trHeight w:val="240" w:hRule="atLeast"/>
        </w:trPr>
        <w:tc>
          <w:tcPr>
            <w:tcW w:w="1668" w:type="dxa"/>
            <w:tcBorders/>
          </w:tcPr>
          <w:p>
            <w:pPr>
              <w:pStyle w:val="Normal"/>
              <w:jc w:val="center"/>
              <w:rPr>
                <w:rFonts w:ascii="Arial" w:hAnsi="Arial" w:eastAsia="Arial" w:cs="Arial"/>
                <w:b/>
                <w:bCs/>
                <w:color w:val="000000"/>
              </w:rPr>
            </w:pPr>
            <w:r>
              <w:rPr>
                <w:rFonts w:eastAsia="Arial" w:cs="Arial" w:ascii="Arial" w:hAnsi="Arial"/>
                <w:b/>
                <w:bCs/>
                <w:color w:val="000000"/>
              </w:rPr>
              <w:t>Net Imports</w:t>
            </w:r>
          </w:p>
        </w:tc>
        <w:tc>
          <w:tcPr>
            <w:tcW w:w="1409" w:type="dxa"/>
            <w:tcBorders/>
          </w:tcPr>
          <w:p>
            <w:pPr>
              <w:pStyle w:val="Normal"/>
              <w:jc w:val="center"/>
              <w:rPr>
                <w:rFonts w:ascii="Arial" w:hAnsi="Arial" w:eastAsia="Arial" w:cs="Arial"/>
                <w:b/>
                <w:bCs/>
                <w:color w:val="000000"/>
              </w:rPr>
            </w:pPr>
            <w:r>
              <w:rPr>
                <w:rFonts w:eastAsia="Arial" w:cs="Arial" w:ascii="Arial" w:hAnsi="Arial"/>
                <w:b/>
                <w:bCs/>
                <w:color w:val="000000"/>
              </w:rPr>
              <w:t>Contig U.S.</w:t>
            </w:r>
          </w:p>
        </w:tc>
        <w:tc>
          <w:tcPr>
            <w:tcW w:w="1041" w:type="dxa"/>
            <w:tcBorders/>
          </w:tcPr>
          <w:p>
            <w:pPr>
              <w:pStyle w:val="Normal"/>
              <w:jc w:val="center"/>
              <w:rPr>
                <w:rFonts w:ascii="Arial" w:hAnsi="Arial" w:eastAsia="Arial" w:cs="Arial"/>
                <w:b/>
                <w:bCs/>
                <w:color w:val="000000"/>
              </w:rPr>
            </w:pPr>
            <w:r>
              <w:rPr>
                <w:rFonts w:eastAsia="Arial" w:cs="Arial" w:ascii="Arial" w:hAnsi="Arial"/>
                <w:b/>
                <w:bCs/>
                <w:color w:val="000000"/>
              </w:rPr>
              <w:t>2752.2</w:t>
            </w:r>
          </w:p>
        </w:tc>
        <w:tc>
          <w:tcPr>
            <w:tcW w:w="917" w:type="dxa"/>
            <w:tcBorders/>
          </w:tcPr>
          <w:p>
            <w:pPr>
              <w:pStyle w:val="Normal"/>
              <w:jc w:val="center"/>
              <w:rPr>
                <w:rFonts w:ascii="Arial" w:hAnsi="Arial" w:eastAsia="Arial" w:cs="Arial"/>
                <w:b/>
                <w:bCs/>
                <w:color w:val="000000"/>
              </w:rPr>
            </w:pPr>
            <w:r>
              <w:rPr>
                <w:rFonts w:eastAsia="Arial" w:cs="Arial" w:ascii="Arial" w:hAnsi="Arial"/>
                <w:b/>
                <w:bCs/>
                <w:color w:val="000000"/>
              </w:rPr>
              <w:t>2851.7</w:t>
            </w:r>
          </w:p>
        </w:tc>
        <w:tc>
          <w:tcPr>
            <w:tcW w:w="917" w:type="dxa"/>
            <w:tcBorders/>
          </w:tcPr>
          <w:p>
            <w:pPr>
              <w:pStyle w:val="Normal"/>
              <w:jc w:val="center"/>
              <w:rPr>
                <w:rFonts w:ascii="Arial" w:hAnsi="Arial" w:eastAsia="Arial" w:cs="Arial"/>
                <w:b/>
                <w:bCs/>
                <w:color w:val="000000"/>
              </w:rPr>
            </w:pPr>
            <w:r>
              <w:rPr>
                <w:rFonts w:eastAsia="Arial" w:cs="Arial" w:ascii="Arial" w:hAnsi="Arial"/>
                <w:b/>
                <w:bCs/>
                <w:color w:val="000000"/>
              </w:rPr>
              <w:t>2899.4</w:t>
            </w:r>
          </w:p>
        </w:tc>
        <w:tc>
          <w:tcPr>
            <w:tcW w:w="857" w:type="dxa"/>
            <w:tcBorders/>
          </w:tcPr>
          <w:p>
            <w:pPr>
              <w:pStyle w:val="Normal"/>
              <w:jc w:val="center"/>
              <w:rPr>
                <w:rFonts w:ascii="Arial" w:hAnsi="Arial" w:eastAsia="Arial" w:cs="Arial"/>
                <w:b/>
                <w:bCs/>
                <w:color w:val="000000"/>
              </w:rPr>
            </w:pPr>
            <w:r>
              <w:rPr>
                <w:rFonts w:eastAsia="Arial" w:cs="Arial" w:ascii="Arial" w:hAnsi="Arial"/>
                <w:b/>
                <w:bCs/>
                <w:color w:val="000000"/>
              </w:rPr>
              <w:t>3059.1</w:t>
            </w:r>
          </w:p>
        </w:tc>
        <w:tc>
          <w:tcPr>
            <w:tcW w:w="902" w:type="dxa"/>
            <w:tcBorders/>
          </w:tcPr>
          <w:p>
            <w:pPr>
              <w:pStyle w:val="Normal"/>
              <w:jc w:val="center"/>
              <w:rPr>
                <w:rFonts w:ascii="Arial" w:hAnsi="Arial" w:eastAsia="Arial" w:cs="Arial"/>
                <w:b/>
                <w:bCs/>
                <w:color w:val="000000"/>
              </w:rPr>
            </w:pPr>
            <w:r>
              <w:rPr>
                <w:rFonts w:eastAsia="Arial" w:cs="Arial" w:ascii="Arial" w:hAnsi="Arial"/>
                <w:b/>
                <w:bCs/>
                <w:color w:val="000000"/>
              </w:rPr>
              <w:t>3436.9</w:t>
            </w:r>
          </w:p>
        </w:tc>
        <w:tc>
          <w:tcPr>
            <w:tcW w:w="888" w:type="dxa"/>
            <w:tcBorders/>
          </w:tcPr>
          <w:p>
            <w:pPr>
              <w:pStyle w:val="Normal"/>
              <w:jc w:val="center"/>
              <w:rPr>
                <w:rFonts w:ascii="Arial" w:hAnsi="Arial" w:eastAsia="Arial" w:cs="Arial"/>
                <w:b/>
                <w:bCs/>
                <w:color w:val="000000"/>
              </w:rPr>
            </w:pPr>
            <w:r>
              <w:rPr>
                <w:rFonts w:eastAsia="Arial" w:cs="Arial" w:ascii="Arial" w:hAnsi="Arial"/>
                <w:b/>
                <w:bCs/>
                <w:color w:val="000000"/>
              </w:rPr>
              <w:t>3634.3</w:t>
            </w:r>
          </w:p>
        </w:tc>
        <w:tc>
          <w:tcPr>
            <w:tcW w:w="1087" w:type="dxa"/>
            <w:tcBorders/>
          </w:tcPr>
          <w:p>
            <w:pPr>
              <w:pStyle w:val="Normal"/>
              <w:jc w:val="center"/>
              <w:rPr>
                <w:rFonts w:ascii="Arial" w:hAnsi="Arial" w:eastAsia="Arial" w:cs="Arial"/>
                <w:b/>
                <w:bCs/>
                <w:color w:val="000000"/>
              </w:rPr>
            </w:pPr>
            <w:r>
              <w:rPr>
                <w:rFonts w:eastAsia="Arial" w:cs="Arial" w:ascii="Arial" w:hAnsi="Arial"/>
                <w:b/>
                <w:bCs/>
                <w:color w:val="000000"/>
              </w:rPr>
              <w:t>32.0</w:t>
            </w:r>
          </w:p>
        </w:tc>
        <w:tc>
          <w:tcPr>
            <w:tcW w:w="1088" w:type="dxa"/>
            <w:tcBorders/>
          </w:tcPr>
          <w:p>
            <w:pPr>
              <w:pStyle w:val="Normal"/>
              <w:jc w:val="center"/>
              <w:rPr>
                <w:rFonts w:ascii="Arial" w:hAnsi="Arial" w:eastAsia="Arial" w:cs="Arial"/>
                <w:b/>
                <w:bCs/>
                <w:color w:val="000000"/>
              </w:rPr>
            </w:pPr>
            <w:r>
              <w:rPr>
                <w:rFonts w:eastAsia="Arial" w:cs="Arial" w:ascii="Arial" w:hAnsi="Arial"/>
                <w:b/>
                <w:bCs/>
                <w:color w:val="000000"/>
              </w:rPr>
              <w:t>95.5</w:t>
            </w:r>
          </w:p>
        </w:tc>
      </w:tr>
    </w:tbl>
    <w:p>
      <w:pPr>
        <w:pStyle w:val="BodyText"/>
        <w:rPr>
          <w:i/>
          <w:i/>
          <w:iCs/>
          <w:sz w:val="28"/>
          <w:szCs w:val="28"/>
        </w:rPr>
      </w:pPr>
      <w:r>
        <w:rPr>
          <w:i/>
          <w:iCs/>
          <w:sz w:val="28"/>
          <w:szCs w:val="28"/>
        </w:rPr>
      </w:r>
    </w:p>
    <w:p>
      <w:pPr>
        <w:pStyle w:val="BodyText"/>
        <w:rPr>
          <w:i/>
          <w:i/>
          <w:iCs/>
          <w:sz w:val="28"/>
          <w:szCs w:val="28"/>
        </w:rPr>
      </w:pPr>
      <w:r>
        <w:rPr>
          <w:i/>
          <w:iCs/>
          <w:sz w:val="28"/>
          <w:szCs w:val="28"/>
        </w:rPr>
      </w:r>
    </w:p>
    <w:p>
      <w:pPr>
        <w:pStyle w:val="BodyText"/>
        <w:rPr>
          <w:lang w:val="en-CA"/>
        </w:rPr>
      </w:pPr>
      <w:r>
        <w:rPr>
          <w:lang w:val="en-CA"/>
        </w:rPr>
        <w:drawing>
          <wp:inline distT="0" distB="0" distL="0" distR="0">
            <wp:extent cx="6219825" cy="39433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6219825" cy="3943350"/>
                    </a:xfrm>
                    <a:prstGeom prst="rect">
                      <a:avLst/>
                    </a:prstGeom>
                    <a:noFill/>
                  </pic:spPr>
                </pic:pic>
              </a:graphicData>
            </a:graphic>
          </wp:inline>
        </w:drawing>
        <mc:AlternateContent>
          <mc:Choice Requires="wps">
            <w:drawing>
              <wp:anchor behindDoc="0" distT="0" distB="0" distL="0" distR="0" simplePos="0" locked="0" layoutInCell="1" allowOverlap="1" relativeHeight="12">
                <wp:simplePos x="0" y="0"/>
                <wp:positionH relativeFrom="column">
                  <wp:posOffset>0</wp:posOffset>
                </wp:positionH>
                <wp:positionV relativeFrom="paragraph">
                  <wp:posOffset>635</wp:posOffset>
                </wp:positionV>
                <wp:extent cx="6219825" cy="3943350"/>
                <wp:effectExtent l="0" t="0" r="0" b="0"/>
                <wp:wrapNone/>
                <wp:docPr id="2" name=""/>
                <a:graphic xmlns:a="http://schemas.openxmlformats.org/drawingml/2006/main">
                  <a:graphicData uri="http://schemas.microsoft.com/office/word/2010/wordprocessingShape">
                    <wps:wsp>
                      <wps:cNvSpPr txBox="1"/>
                      <wps:spPr>
                        <a:xfrm>
                          <a:off x="0" y="0"/>
                          <a:ext cx="6219720" cy="394344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0pt;margin-top:0pt;width:489.7pt;height:310.45pt;mso-wrap-style:none;v-text-anchor:middle" type="_x0000_t202">
                <v:fill o:detectmouseclick="t" on="false"/>
                <v:stroke color="#3465a4" joinstyle="round" endcap="flat"/>
                <w10:wrap type="none"/>
              </v:shape>
            </w:pict>
          </mc:Fallback>
        </mc:AlternateContent>
      </w:r>
    </w:p>
    <w:sectPr>
      <w:headerReference w:type="default" r:id="rId3"/>
      <w:headerReference w:type="first" r:id="rId4"/>
      <w:footerReference w:type="default" r:id="rId5"/>
      <w:footerReference w:type="first" r:id="rId6"/>
      <w:type w:val="nextPage"/>
      <w:pgSz w:w="12240" w:h="15840"/>
      <w:pgMar w:left="720" w:right="720" w:gutter="0" w:header="720" w:top="1440" w:footer="1008"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sz w:val="12"/>
        <w:szCs w:val="12"/>
      </w:rPr>
    </w:pPr>
    <w:r>
      <w:rPr>
        <w:b/>
        <w:bCs/>
        <w:sz w:val="12"/>
        <w:szCs w:val="12"/>
      </w:rPr>
      <w:t>CONFIDENTIAL TO ADRESSEE ONLY</w:t>
    </w:r>
  </w:p>
  <w:p>
    <w:pPr>
      <w:pStyle w:val="Footer"/>
      <w:jc w:val="center"/>
      <w:rPr>
        <w:b/>
        <w:bCs/>
        <w:sz w:val="12"/>
        <w:szCs w:val="12"/>
      </w:rPr>
    </w:pPr>
    <w:r>
      <w:rPr>
        <w:b/>
        <w:bCs/>
        <w:sz w:val="12"/>
        <w:szCs w:val="12"/>
      </w:rPr>
      <w:t>COPYRIGHT 1998 ENERGY REPORTING NETWORK ALL RIGHTS RESERVED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i/>
      <w:iCs/>
      <w:sz w:val="28"/>
      <w:szCs w:val="28"/>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3">
    <w:name w:val="heading 3"/>
    <w:basedOn w:val="Normal"/>
    <w:next w:val="Normal"/>
    <w:qFormat/>
    <w:pPr>
      <w:keepNext w:val="true"/>
      <w:numPr>
        <w:ilvl w:val="2"/>
        <w:numId w:val="1"/>
      </w:numPr>
      <w:jc w:val="center"/>
      <w:outlineLvl w:val="2"/>
    </w:pPr>
    <w:rPr>
      <w:b/>
      <w:bCs/>
      <w:sz w:val="28"/>
      <w:szCs w:val="28"/>
    </w:rPr>
  </w:style>
  <w:style w:type="paragraph" w:styleId="Heading4">
    <w:name w:val="heading 4"/>
    <w:basedOn w:val="Normal"/>
    <w:next w:val="Normal"/>
    <w:qFormat/>
    <w:pPr>
      <w:keepNext w:val="true"/>
      <w:numPr>
        <w:ilvl w:val="3"/>
        <w:numId w:val="1"/>
      </w:numPr>
      <w:jc w:val="end"/>
      <w:outlineLvl w:val="3"/>
    </w:pPr>
    <w:rPr>
      <w:rFonts w:ascii="Arial" w:hAnsi="Arial" w:eastAsia="Arial" w:cs="Arial"/>
      <w:b/>
      <w:bCs/>
      <w:color w:val="000000"/>
    </w:rPr>
  </w:style>
  <w:style w:type="paragraph" w:styleId="Heading5">
    <w:name w:val="heading 5"/>
    <w:basedOn w:val="Normal"/>
    <w:next w:val="Normal"/>
    <w:qFormat/>
    <w:pPr>
      <w:keepNext w:val="true"/>
      <w:numPr>
        <w:ilvl w:val="4"/>
        <w:numId w:val="1"/>
      </w:numPr>
      <w:outlineLvl w:val="4"/>
    </w:pPr>
    <w:rPr>
      <w:b/>
      <w:bCs/>
      <w:i/>
      <w:iCs/>
      <w:sz w:val="28"/>
      <w:szCs w:val="28"/>
      <w:u w:val="single"/>
    </w:rPr>
  </w:style>
  <w:style w:type="paragraph" w:styleId="Heading6">
    <w:name w:val="heading 6"/>
    <w:basedOn w:val="Normal"/>
    <w:next w:val="Normal"/>
    <w:qFormat/>
    <w:pPr>
      <w:keepNext w:val="true"/>
      <w:numPr>
        <w:ilvl w:val="5"/>
        <w:numId w:val="1"/>
      </w:numPr>
      <w:outlineLvl w:val="5"/>
    </w:pPr>
    <w:rPr>
      <w:b/>
      <w:bCs/>
      <w:sz w:val="28"/>
      <w:szCs w:val="28"/>
    </w:rPr>
  </w:style>
  <w:style w:type="paragraph" w:styleId="Heading7">
    <w:name w:val="heading 7"/>
    <w:basedOn w:val="Normal"/>
    <w:next w:val="Normal"/>
    <w:qFormat/>
    <w:pPr>
      <w:keepNext w:val="true"/>
      <w:numPr>
        <w:ilvl w:val="6"/>
        <w:numId w:val="1"/>
      </w:numPr>
      <w:outlineLvl w:val="6"/>
    </w:pPr>
    <w:rPr>
      <w:b/>
      <w:bCs/>
      <w:i/>
      <w:iCs/>
      <w:sz w:val="32"/>
      <w:szCs w:val="32"/>
    </w:rPr>
  </w:style>
  <w:style w:type="paragraph" w:styleId="Heading8">
    <w:name w:val="heading 8"/>
    <w:basedOn w:val="Normal"/>
    <w:next w:val="Normal"/>
    <w:qFormat/>
    <w:pPr>
      <w:keepNext w:val="true"/>
      <w:numPr>
        <w:ilvl w:val="7"/>
        <w:numId w:val="1"/>
      </w:numPr>
      <w:jc w:val="center"/>
      <w:outlineLvl w:val="7"/>
    </w:pPr>
    <w:rPr>
      <w:b/>
      <w:bCs/>
      <w:sz w:val="24"/>
      <w:szCs w:val="24"/>
    </w:rPr>
  </w:style>
  <w:style w:type="paragraph" w:styleId="Heading9">
    <w:name w:val="heading 9"/>
    <w:basedOn w:val="Normal"/>
    <w:next w:val="Normal"/>
    <w:qFormat/>
    <w:pPr>
      <w:keepNext w:val="true"/>
      <w:numPr>
        <w:ilvl w:val="8"/>
        <w:numId w:val="1"/>
      </w:numPr>
      <w:ind w:firstLine="720" w:start="0" w:end="0"/>
      <w:jc w:val="center"/>
      <w:outlineLvl w:val="8"/>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szCs w:val="24"/>
    </w:rPr>
  </w:style>
  <w:style w:type="paragraph" w:styleId="List">
    <w:name w:val="List"/>
    <w:basedOn w:val="BodyText"/>
    <w:pPr/>
    <w:rPr>
      <w:rFonts w:cs="NotoSans NF"/>
    </w:rPr>
  </w:style>
  <w:style w:type="paragraph" w:styleId="Caption">
    <w:name w:val="caption"/>
    <w:basedOn w:val="Normal"/>
    <w:next w:val="Normal"/>
    <w:qFormat/>
    <w:pPr/>
    <w:rPr>
      <w:b/>
      <w:b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720" w:start="720" w:end="0"/>
    </w:pPr>
    <w:rPr>
      <w:b/>
      <w:bCs/>
      <w:sz w:val="24"/>
      <w:szCs w:val="24"/>
    </w:rPr>
  </w:style>
  <w:style w:type="paragraph" w:styleId="WW-BodyText2">
    <w:name w:val="WW-Body Text 2"/>
    <w:basedOn w:val="Normal"/>
    <w:qFormat/>
    <w:pPr>
      <w:ind w:hanging="720" w:start="720" w:end="0"/>
    </w:pPr>
    <w:rPr>
      <w:b/>
      <w:bCs/>
      <w:sz w:val="24"/>
      <w:szCs w:val="24"/>
    </w:rPr>
  </w:style>
  <w:style w:type="paragraph" w:styleId="WW-BodyText21">
    <w:name w:val="WW-Body Text 21"/>
    <w:basedOn w:val="Normal"/>
    <w:qFormat/>
    <w:pPr>
      <w:ind w:hanging="720" w:start="720" w:end="0"/>
    </w:pPr>
    <w:rPr>
      <w:b/>
      <w:bCs/>
      <w:sz w:val="24"/>
      <w:szCs w:val="24"/>
    </w:rPr>
  </w:style>
  <w:style w:type="paragraph" w:styleId="WW-BodyText22">
    <w:name w:val="WW-Body Text 22"/>
    <w:basedOn w:val="Normal"/>
    <w:qFormat/>
    <w:pPr>
      <w:ind w:hanging="720" w:start="720" w:end="0"/>
    </w:pPr>
    <w:rPr>
      <w:b/>
      <w:bCs/>
      <w:sz w:val="24"/>
      <w:szCs w:val="24"/>
    </w:rPr>
  </w:style>
  <w:style w:type="paragraph" w:styleId="WW-BodyText23">
    <w:name w:val="WW-Body Text 23"/>
    <w:basedOn w:val="Normal"/>
    <w:qFormat/>
    <w:pPr>
      <w:ind w:hanging="720" w:start="720" w:end="0"/>
    </w:pPr>
    <w:rPr>
      <w:b/>
      <w:bCs/>
      <w:sz w:val="24"/>
      <w:szCs w:val="24"/>
    </w:rPr>
  </w:style>
  <w:style w:type="paragraph" w:styleId="WW-BodyText24">
    <w:name w:val="WW-Body Text 24"/>
    <w:basedOn w:val="Normal"/>
    <w:qFormat/>
    <w:pPr>
      <w:ind w:firstLine="720" w:start="0" w:end="0"/>
    </w:pPr>
    <w:rPr>
      <w:b/>
      <w:bCs/>
      <w:sz w:val="24"/>
      <w:szCs w:val="24"/>
    </w:rPr>
  </w:style>
  <w:style w:type="paragraph" w:styleId="WW-BodyText25">
    <w:name w:val="WW-Body Text 25"/>
    <w:basedOn w:val="Normal"/>
    <w:qFormat/>
    <w:pPr>
      <w:ind w:firstLine="720" w:start="0" w:end="0"/>
    </w:pPr>
    <w:rPr>
      <w:b/>
      <w:bCs/>
      <w:sz w:val="24"/>
      <w:szCs w:val="24"/>
    </w:rPr>
  </w:style>
  <w:style w:type="paragraph" w:styleId="WW-BodyText26">
    <w:name w:val="WW-Body Text 26"/>
    <w:basedOn w:val="Normal"/>
    <w:qFormat/>
    <w:pPr>
      <w:ind w:firstLine="720" w:start="0" w:end="0"/>
    </w:pPr>
    <w:rPr>
      <w:b/>
      <w:bCs/>
      <w:sz w:val="24"/>
      <w:szCs w:val="24"/>
    </w:rPr>
  </w:style>
  <w:style w:type="paragraph" w:styleId="WW-BodyText27">
    <w:name w:val="WW-Body Text 27"/>
    <w:basedOn w:val="Normal"/>
    <w:qFormat/>
    <w:pPr>
      <w:ind w:firstLine="720" w:start="0" w:end="0"/>
    </w:pPr>
    <w:rPr>
      <w:b/>
      <w:bCs/>
      <w:sz w:val="24"/>
      <w:szCs w:val="24"/>
    </w:rPr>
  </w:style>
  <w:style w:type="paragraph" w:styleId="BodyTextIndent2">
    <w:name w:val="Body Text Indent 2"/>
    <w:basedOn w:val="Normal"/>
    <w:qFormat/>
    <w:pPr>
      <w:ind w:hanging="720" w:start="720" w:end="0"/>
    </w:pPr>
    <w:rPr>
      <w:b/>
      <w:bCs/>
      <w:sz w:val="24"/>
      <w:szCs w:val="24"/>
    </w:rPr>
  </w:style>
  <w:style w:type="paragraph" w:styleId="WW-BodyText28">
    <w:name w:val="WW-Body Text 28"/>
    <w:basedOn w:val="Normal"/>
    <w:qFormat/>
    <w:pPr>
      <w:ind w:firstLine="720" w:start="0" w:end="0"/>
    </w:pPr>
    <w:rPr>
      <w:b/>
      <w:bCs/>
      <w:sz w:val="24"/>
      <w:szCs w:val="24"/>
    </w:rPr>
  </w:style>
  <w:style w:type="paragraph" w:styleId="WW-BodyText29">
    <w:name w:val="WW-Body Text 29"/>
    <w:basedOn w:val="Normal"/>
    <w:qFormat/>
    <w:pPr>
      <w:ind w:firstLine="720" w:start="0" w:end="0"/>
    </w:pPr>
    <w:rPr>
      <w:b/>
      <w:bCs/>
      <w:sz w:val="24"/>
      <w:szCs w:val="24"/>
    </w:rPr>
  </w:style>
  <w:style w:type="paragraph" w:styleId="WW-BodyText210">
    <w:name w:val="WW-Body Text 210"/>
    <w:basedOn w:val="Normal"/>
    <w:qFormat/>
    <w:pPr>
      <w:ind w:firstLine="720" w:start="0" w:end="0"/>
    </w:pPr>
    <w:rPr>
      <w:b/>
      <w:bCs/>
      <w:sz w:val="24"/>
      <w:szCs w:val="24"/>
    </w:rPr>
  </w:style>
  <w:style w:type="paragraph" w:styleId="WW-BodyText211">
    <w:name w:val="WW-Body Text 211"/>
    <w:basedOn w:val="Normal"/>
    <w:qFormat/>
    <w:pPr>
      <w:ind w:firstLine="720" w:start="0" w:end="0"/>
    </w:pPr>
    <w:rPr>
      <w:b/>
      <w:bCs/>
      <w:sz w:val="24"/>
      <w:szCs w:val="24"/>
    </w:rPr>
  </w:style>
  <w:style w:type="paragraph" w:styleId="WW-BodyText212">
    <w:name w:val="WW-Body Text 212"/>
    <w:basedOn w:val="Normal"/>
    <w:qFormat/>
    <w:pPr>
      <w:ind w:firstLine="720" w:start="0" w:end="0"/>
    </w:pPr>
    <w:rPr>
      <w:b/>
      <w:bCs/>
      <w:sz w:val="24"/>
      <w:szCs w:val="24"/>
    </w:rPr>
  </w:style>
  <w:style w:type="paragraph" w:styleId="WW-BodyText213">
    <w:name w:val="WW-Body Text 213"/>
    <w:basedOn w:val="Normal"/>
    <w:qFormat/>
    <w:pPr>
      <w:ind w:firstLine="720" w:start="0" w:end="0"/>
    </w:pPr>
    <w:rPr>
      <w:b/>
      <w:bCs/>
      <w:sz w:val="24"/>
      <w:szCs w:val="24"/>
    </w:rPr>
  </w:style>
  <w:style w:type="paragraph" w:styleId="WW-BodyText214">
    <w:name w:val="WW-Body Text 214"/>
    <w:basedOn w:val="Normal"/>
    <w:qFormat/>
    <w:pPr>
      <w:ind w:firstLine="720" w:start="0" w:end="0"/>
    </w:pPr>
    <w:rPr>
      <w:b/>
      <w:bCs/>
      <w:sz w:val="24"/>
      <w:szCs w:val="24"/>
    </w:rPr>
  </w:style>
  <w:style w:type="paragraph" w:styleId="WW-BodyText215">
    <w:name w:val="WW-Body Text 215"/>
    <w:basedOn w:val="Normal"/>
    <w:qFormat/>
    <w:pPr>
      <w:ind w:firstLine="720" w:start="0" w:end="0"/>
    </w:pPr>
    <w:rPr>
      <w:b/>
      <w:bCs/>
      <w:sz w:val="24"/>
      <w:szCs w:val="24"/>
    </w:rPr>
  </w:style>
  <w:style w:type="paragraph" w:styleId="WW-BodyText216">
    <w:name w:val="WW-Body Text 216"/>
    <w:basedOn w:val="Normal"/>
    <w:qFormat/>
    <w:pPr>
      <w:ind w:firstLine="720" w:start="0" w:end="0"/>
    </w:pPr>
    <w:rPr>
      <w:b/>
      <w:bCs/>
      <w:sz w:val="24"/>
      <w:szCs w:val="24"/>
    </w:rPr>
  </w:style>
  <w:style w:type="paragraph" w:styleId="WW-BodyText217">
    <w:name w:val="WW-Body Text 217"/>
    <w:basedOn w:val="Normal"/>
    <w:qFormat/>
    <w:pPr>
      <w:ind w:firstLine="720" w:start="0" w:end="0"/>
    </w:pPr>
    <w:rPr>
      <w:b/>
      <w:bCs/>
      <w:sz w:val="24"/>
      <w:szCs w:val="24"/>
    </w:rPr>
  </w:style>
  <w:style w:type="paragraph" w:styleId="WW-BodyText218">
    <w:name w:val="WW-Body Text 218"/>
    <w:basedOn w:val="Normal"/>
    <w:qFormat/>
    <w:pPr>
      <w:ind w:firstLine="720" w:start="0" w:end="0"/>
    </w:pPr>
    <w:rPr>
      <w:b/>
      <w:bCs/>
      <w:sz w:val="24"/>
      <w:szCs w:val="24"/>
    </w:rPr>
  </w:style>
  <w:style w:type="paragraph" w:styleId="WW-BodyText219">
    <w:name w:val="WW-Body Text 219"/>
    <w:basedOn w:val="Normal"/>
    <w:qFormat/>
    <w:pPr>
      <w:ind w:firstLine="720" w:start="0" w:end="0"/>
    </w:pPr>
    <w:rPr>
      <w:b/>
      <w:bCs/>
      <w:sz w:val="24"/>
      <w:szCs w:val="24"/>
    </w:rPr>
  </w:style>
  <w:style w:type="paragraph" w:styleId="WW-BodyText220">
    <w:name w:val="WW-Body Text 220"/>
    <w:basedOn w:val="Normal"/>
    <w:qFormat/>
    <w:pPr>
      <w:ind w:firstLine="720" w:start="0" w:end="0"/>
    </w:pPr>
    <w:rPr>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2001-07-09T20:48:00Z</dcterms:created>
  <dc:creator>Preferred Customer</dc:creator>
  <dc:description/>
  <dc:language>en-CA</dc:language>
  <cp:lastModifiedBy>C31</cp:lastModifiedBy>
  <cp:lastPrinted>2001-07-09T16:47:00Z</cp:lastPrinted>
  <dcterms:modified xsi:type="dcterms:W3CDTF">2001-07-09T20:48:00Z</dcterms:modified>
  <cp:revision>2</cp:revision>
  <dc:subject/>
  <dc:title>ENERGY REPORTING NETWORK</dc:title>
</cp:coreProperties>
</file>