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April 12,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General Motors Corporation</w:t>
      </w:r>
    </w:p>
    <w:p>
      <w:pPr>
        <w:pStyle w:val="Normal"/>
        <w:jc w:val="both"/>
        <w:rPr>
          <w:rFonts w:ascii="Times New Roman" w:hAnsi="Times New Roman" w:cs="Times New Roman"/>
          <w:sz w:val="22"/>
        </w:rPr>
      </w:pPr>
      <w:r>
        <w:rPr>
          <w:rFonts w:cs="Times New Roman" w:ascii="Times New Roman" w:hAnsi="Times New Roman"/>
          <w:sz w:val="22"/>
        </w:rPr>
        <w:t>200 Renaissance Center</w:t>
      </w:r>
    </w:p>
    <w:p>
      <w:pPr>
        <w:pStyle w:val="Normal"/>
        <w:jc w:val="both"/>
        <w:rPr>
          <w:rFonts w:ascii="Times New Roman" w:hAnsi="Times New Roman" w:cs="Times New Roman"/>
          <w:sz w:val="22"/>
        </w:rPr>
      </w:pPr>
      <w:r>
        <w:rPr>
          <w:rFonts w:cs="Times New Roman" w:ascii="Times New Roman" w:hAnsi="Times New Roman"/>
          <w:sz w:val="22"/>
        </w:rPr>
        <w:t>Detroit, MI 48265</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Richard Dix</w:t>
      </w:r>
    </w:p>
    <w:p>
      <w:pPr>
        <w:pStyle w:val="Normal"/>
        <w:ind w:firstLine="720" w:end="0"/>
        <w:jc w:val="both"/>
        <w:rPr>
          <w:rFonts w:ascii="Times New Roman" w:hAnsi="Times New Roman" w:cs="Times New Roman"/>
          <w:sz w:val="22"/>
        </w:rPr>
      </w:pPr>
      <w:r>
        <w:rPr>
          <w:rFonts w:cs="Times New Roman" w:ascii="Times New Roman" w:hAnsi="Times New Roman"/>
          <w:sz w:val="22"/>
        </w:rPr>
        <w:t>Director of Business Development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General Motors Corporation and Enron Net Works LLC (“Enron”) (hereinafter individually and collectively referred to as a party) and their affiliates are prepared to furnish each other with proprietary information in connection with a possible transaction or other business relationship (“Transaction”) involving development of a procurement management and financial planning system incorporating certain technologies associated with Enron’s current commodity trading platform, which information shall be marked with a label indicating its proprietary nature (the "Confidential Information").  The term "Confidential Information" shall, with respect to the receiving party, not include information (a) that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(other than those retained for archival purposes) shall be retained by such party or its Representatives.  That portion of the Confidential Information that is found in analyses, compilations, studies or other documents prepared by or for a party, the Confidential Information that is oral (and described to the receiving party in writing within 10 days of the oral disclosure), archival copies of Confidential Information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 by virtue of this agreement.</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2 and 3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GENERAL MOTORS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/mnt/main-storage/datasets/enron-docs/doc/general_motors_a.doc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General Motors Corporation</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9360" w:leader="none"/>
      </w:tabs>
      <w:ind w:hanging="0" w:start="504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2001-04-12T19:36:00Z</dcterms:created>
  <dc:creator>ECT</dc:creator>
  <dc:description/>
  <dc:language>en-CA</dc:language>
  <cp:lastModifiedBy>tjones</cp:lastModifiedBy>
  <cp:lastPrinted>2001-04-12T17:08:00Z</cp:lastPrinted>
  <dcterms:modified xsi:type="dcterms:W3CDTF">2001-04-12T19:57:00Z</dcterms:modified>
  <cp:revision>3</cp:revision>
  <dc:subject/>
  <dc:title>Reciprocal Confidentiality Agreement</dc:title>
</cp:coreProperties>
</file>