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Enron Capital &amp; Trade Resources Corp. Letterhead</w:t>
        <w:tab/>
        <w:tab/>
        <w:tab/>
        <w:tab/>
        <w:t>DRAFT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May 17, 1999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Mr. Edward Untalan</w:t>
      </w:r>
    </w:p>
    <w:p>
      <w:pPr>
        <w:pStyle w:val="Normal"/>
        <w:rPr>
          <w:sz w:val="24"/>
        </w:rPr>
      </w:pPr>
      <w:r>
        <w:rPr>
          <w:sz w:val="24"/>
        </w:rPr>
        <w:t>Administrator</w:t>
      </w:r>
    </w:p>
    <w:p>
      <w:pPr>
        <w:pStyle w:val="Normal"/>
        <w:rPr>
          <w:sz w:val="24"/>
        </w:rPr>
      </w:pPr>
      <w:r>
        <w:rPr>
          <w:sz w:val="24"/>
        </w:rPr>
        <w:t>Guam Economic Development Authority</w:t>
      </w:r>
    </w:p>
    <w:p>
      <w:pPr>
        <w:pStyle w:val="Normal"/>
        <w:rPr>
          <w:sz w:val="24"/>
        </w:rPr>
      </w:pPr>
      <w:r>
        <w:rPr>
          <w:sz w:val="24"/>
        </w:rPr>
        <w:t>ITC Building, Suite 511</w:t>
      </w:r>
    </w:p>
    <w:p>
      <w:pPr>
        <w:pStyle w:val="Normal"/>
        <w:rPr>
          <w:sz w:val="24"/>
        </w:rPr>
      </w:pPr>
      <w:r>
        <w:rPr>
          <w:sz w:val="24"/>
        </w:rPr>
        <w:t>590 South Marine Drive</w:t>
      </w:r>
    </w:p>
    <w:p>
      <w:pPr>
        <w:pStyle w:val="Normal"/>
        <w:rPr>
          <w:sz w:val="24"/>
        </w:rPr>
      </w:pPr>
      <w:r>
        <w:rPr>
          <w:sz w:val="24"/>
        </w:rPr>
        <w:t>Tamuning, Guam 96911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Mr. Untalan: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In reference to the attached letter dated April 14, 1998 regarding Proposal No. RFP 98-002, Enron Capital &amp; Trade Resources Corp. (“ECT”) expressed our interest in submitting a proposal for specific risk management products that Guam Power Authority (“GPA”) would consider entering into (i.e., financial products such as fixed price swap or costless collar), following the selection of a risk </w:t>
      </w:r>
      <w:r>
        <w:rPr>
          <w:sz w:val="24"/>
          <w:u w:val="single"/>
        </w:rPr>
        <w:t>manager</w:t>
      </w:r>
      <w:r>
        <w:rPr>
          <w:sz w:val="24"/>
        </w:rPr>
        <w:t>.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/>
      </w:pPr>
      <w:r>
        <w:rPr>
          <w:sz w:val="24"/>
        </w:rPr>
        <w:t xml:space="preserve">In this regard, we would like to inquire about the status of Guam Economic Development Authority’s (“GEDA”) plan in selecting a </w:t>
      </w:r>
      <w:r>
        <w:rPr>
          <w:sz w:val="24"/>
          <w:u w:val="single"/>
        </w:rPr>
        <w:t>provider</w:t>
      </w:r>
      <w:r>
        <w:rPr>
          <w:sz w:val="24"/>
        </w:rPr>
        <w:t xml:space="preserve"> of financial risk management products to GPA (i.e., an entity that would offer specific financial products to GPA, who would then decide whether to negotiate with such entity).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Please be advised that a risk </w:t>
      </w:r>
      <w:r>
        <w:rPr>
          <w:sz w:val="24"/>
          <w:u w:val="single"/>
        </w:rPr>
        <w:t>manager</w:t>
      </w:r>
      <w:r>
        <w:rPr>
          <w:sz w:val="24"/>
        </w:rPr>
        <w:t xml:space="preserve"> (i.e., an entity that would assist GPA in determining which financial products to consider or in negotiating any actual financial agreements) has a distinctly separate role from a </w:t>
      </w:r>
      <w:r>
        <w:rPr>
          <w:sz w:val="24"/>
          <w:u w:val="single"/>
        </w:rPr>
        <w:t>provider</w:t>
      </w:r>
      <w:r>
        <w:rPr>
          <w:sz w:val="24"/>
        </w:rPr>
        <w:t xml:space="preserve"> of financial risk management products.  As a rule, the risk </w:t>
      </w:r>
      <w:r>
        <w:rPr>
          <w:sz w:val="24"/>
          <w:u w:val="single"/>
        </w:rPr>
        <w:t>manager</w:t>
      </w:r>
      <w:r>
        <w:rPr>
          <w:sz w:val="24"/>
        </w:rPr>
        <w:t xml:space="preserve"> does not assume the role of the </w:t>
      </w:r>
      <w:r>
        <w:rPr>
          <w:sz w:val="24"/>
          <w:u w:val="single"/>
        </w:rPr>
        <w:t>provider</w:t>
      </w:r>
      <w:r>
        <w:rPr>
          <w:sz w:val="24"/>
        </w:rPr>
        <w:t xml:space="preserve"> of financial products, as this would constitute a conflict of interest.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We look forward to your response.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Kevin W. Beasley</w:t>
      </w:r>
    </w:p>
    <w:p>
      <w:pPr>
        <w:pStyle w:val="Normal"/>
        <w:rPr>
          <w:sz w:val="24"/>
        </w:rPr>
      </w:pPr>
      <w:r>
        <w:rPr>
          <w:sz w:val="24"/>
        </w:rPr>
        <w:t>Vice President, Enron Clean Fuels Company</w:t>
      </w:r>
    </w:p>
    <w:p>
      <w:pPr>
        <w:pStyle w:val="Normal"/>
        <w:rPr>
          <w:sz w:val="24"/>
        </w:rPr>
      </w:pPr>
      <w:r>
        <w:rPr>
          <w:sz w:val="24"/>
        </w:rPr>
        <w:t>A Division of Enron Gas Liquids, Inc.,</w:t>
      </w:r>
    </w:p>
    <w:p>
      <w:pPr>
        <w:pStyle w:val="Normal"/>
        <w:rPr>
          <w:sz w:val="24"/>
        </w:rPr>
      </w:pPr>
      <w:r>
        <w:rPr>
          <w:sz w:val="24"/>
        </w:rPr>
        <w:t>An Affiliate of Enron Capital &amp; Trade Resources Corporation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cc:</w:t>
        <w:tab/>
        <w:t>Manuel Gallego</w:t>
        <w:tab/>
        <w:t>(Enron Philippines)</w:t>
      </w:r>
    </w:p>
    <w:p>
      <w:pPr>
        <w:pStyle w:val="Normal"/>
        <w:rPr>
          <w:sz w:val="24"/>
        </w:rPr>
      </w:pPr>
      <w:r>
        <w:rPr>
          <w:sz w:val="24"/>
        </w:rPr>
        <w:tab/>
        <w:t>Elizabeth Sager</w:t>
        <w:tab/>
        <w:t>(Enron Legal)</w:t>
      </w:r>
    </w:p>
    <w:p>
      <w:pPr>
        <w:pStyle w:val="Normal"/>
        <w:rPr>
          <w:sz w:val="24"/>
        </w:rPr>
      </w:pPr>
      <w:r>
        <w:rPr>
          <w:sz w:val="24"/>
        </w:rPr>
        <w:tab/>
        <w:t>David Terlip</w:t>
        <w:tab/>
        <w:tab/>
        <w:t>(Enron International)</w:t>
      </w:r>
    </w:p>
    <w:sectPr>
      <w:type w:val="nextPage"/>
      <w:pgSz w:w="11906" w:h="16838"/>
      <w:pgMar w:left="1728" w:right="1728" w:gutter="0" w:header="0" w:top="1584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1999-05-17T06:14:00Z</dcterms:created>
  <dc:creator>Enron International</dc:creator>
  <dc:description/>
  <dc:language>en-CA</dc:language>
  <cp:lastModifiedBy>Enron International</cp:lastModifiedBy>
  <cp:lastPrinted>1999-05-17T18:12:00Z</cp:lastPrinted>
  <dcterms:modified xsi:type="dcterms:W3CDTF">1999-05-17T10:04:00Z</dcterms:modified>
  <cp:revision>3</cp:revision>
  <dc:subject/>
  <dc:title>Enron Capital &amp; Trade Resources Corp</dc:title>
</cp:coreProperties>
</file>