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MTG OPERATINGCOMPANY</w:t>
      </w:r>
    </w:p>
    <w:p>
      <w:pPr>
        <w:pStyle w:val="Heading2"/>
        <w:numPr>
          <w:ilvl w:val="0"/>
          <w:numId w:val="0"/>
        </w:numPr>
        <w:ind w:hanging="0" w:start="0"/>
        <w:jc w:val="center"/>
        <w:rPr>
          <w:b/>
        </w:rPr>
      </w:pPr>
      <w:r>
        <w:rPr>
          <w:b/>
        </w:rPr>
        <w:t>MICHAEL T. GUTHRIE</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w:t>
      </w:r>
      <w:r>
        <w:rPr>
          <w:u w:val="single"/>
        </w:rPr>
        <w:tab/>
      </w:r>
      <w:r>
        <w:rPr/>
        <w:t xml:space="preserve"> Day of September, 1999 (the "</w:t>
      </w:r>
      <w:r>
        <w:rPr>
          <w:u w:val="single"/>
        </w:rPr>
        <w:t>Effective Date</w:t>
      </w:r>
      <w:r>
        <w:rPr/>
        <w:t>"), by and between MTG Operating Company and Michael T. Guthrie (collectively the "</w:t>
      </w:r>
      <w:r>
        <w:rPr>
          <w:u w:val="single"/>
        </w:rPr>
        <w:t>Owner</w:t>
      </w:r>
      <w:r>
        <w:rPr/>
        <w:t>"), and Enron Midstream Services, L.L.C., a Delaware limited liability company,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 connecting pipeline necessary to connect the Owner's well(s) to the Receipt Point.</w:t>
      </w:r>
    </w:p>
    <w:p>
      <w:pPr>
        <w:pStyle w:val="Heading2"/>
        <w:numPr>
          <w:ilvl w:val="1"/>
          <w:numId w:val="2"/>
        </w:numPr>
        <w:rPr/>
      </w:pPr>
      <w:r>
        <w:rPr>
          <w:b/>
          <w:u w:val="single"/>
        </w:rPr>
        <w:t>Delivery Points</w:t>
      </w:r>
      <w:r>
        <w:rPr>
          <w:b/>
        </w:rPr>
        <w:t>.</w:t>
      </w:r>
      <w:r>
        <w:rPr/>
        <w:t xml:space="preserve">  The points at which Gatherer shall redeliver gas to Owner ("</w:t>
      </w:r>
      <w:r>
        <w:rPr>
          <w:u w:val="single"/>
        </w:rPr>
        <w:t>Delivery Points</w:t>
      </w:r>
      <w:r>
        <w:rPr/>
        <w:t xml:space="preserve">")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Effective Date, unless otherwise terminated in accordance with the terms of this Agreement or the Gas Purchase Agreement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thirty (30) Days prior to the end of the Primary Term or any Year thereafter. All indemnity, confidentiality obligations, and audit rights shall survive the termination or expiration hereof.  During the term of the Gas Purchase Agreement, this Agreement shall be effective only as specified in the Gas Purchase Agreement.  Upon termination of the Gas Purchase Agreement this Agreement shall remain in effect and be controlling.</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xml:space="preserve">") for Gathering Services, shall be the Owner's quantity of gas as measured at the Receipt Point(s) multiplied by the amount per Mcf specifically set forth in </w:t>
      </w:r>
      <w:r>
        <w:rPr>
          <w:u w:val="single"/>
        </w:rPr>
        <w:t>Exhibit E</w:t>
      </w:r>
      <w:r>
        <w:rPr/>
        <w:t xml:space="preserve"> for the various gathering areas in which the Gathering Services are to be performed.</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spacing w:before="120" w:after="0"/>
              <w:ind w:start="252" w:end="0"/>
              <w:rPr/>
            </w:pPr>
            <w:r>
              <w:rPr/>
              <w:t>Acct # 4140327387</w:t>
            </w:r>
          </w:p>
          <w:p>
            <w:pPr>
              <w:pStyle w:val="Normal"/>
              <w:keepNext w:val="true"/>
              <w:rPr/>
            </w:pPr>
            <w:r>
              <w:rPr/>
            </w:r>
          </w:p>
          <w:p>
            <w:pPr>
              <w:pStyle w:val="Normal"/>
              <w:keepNext w:val="true"/>
              <w:ind w:start="518" w:end="0"/>
              <w:rPr/>
            </w:pPr>
            <w:r>
              <w:rPr/>
            </w:r>
          </w:p>
        </w:tc>
        <w:tc>
          <w:tcPr>
            <w:tcW w:w="3960" w:type="dxa"/>
            <w:tcBorders/>
          </w:tcPr>
          <w:p>
            <w:pPr>
              <w:pStyle w:val="Normal"/>
              <w:keepNext w:val="true"/>
              <w:rPr/>
            </w:pPr>
            <w:r>
              <w:rPr>
                <w:b/>
              </w:rPr>
              <w:t>Notices</w:t>
            </w:r>
            <w:r>
              <w:rPr/>
              <w:t>:</w:t>
            </w:r>
          </w:p>
          <w:p>
            <w:pPr>
              <w:pStyle w:val="Normal"/>
              <w:keepNext w:val="true"/>
              <w:rPr/>
            </w:pPr>
            <w:r>
              <w:rPr/>
              <w:t>MTG Operating Company</w:t>
            </w:r>
          </w:p>
          <w:p>
            <w:pPr>
              <w:pStyle w:val="Normal"/>
              <w:keepNext w:val="true"/>
              <w:rPr/>
            </w:pPr>
            <w:r>
              <w:rPr/>
              <w:t>Michael T. Guthrie</w:t>
            </w:r>
          </w:p>
          <w:p>
            <w:pPr>
              <w:pStyle w:val="Normal"/>
              <w:keepNext w:val="true"/>
              <w:rPr/>
            </w:pPr>
            <w:r>
              <w:rPr/>
              <w:t>117 South Main Street</w:t>
            </w:r>
          </w:p>
          <w:p>
            <w:pPr>
              <w:pStyle w:val="Normal"/>
              <w:keepNext w:val="true"/>
              <w:rPr/>
            </w:pPr>
            <w:r>
              <w:rPr/>
              <w:t>Buffalo, Wyoming 82834</w:t>
            </w:r>
          </w:p>
          <w:p>
            <w:pPr>
              <w:pStyle w:val="Normal"/>
              <w:keepNext w:val="true"/>
              <w:rPr/>
            </w:pPr>
            <w:r>
              <w:rPr/>
              <w:t>Phone: (307) 684-0964</w:t>
            </w:r>
          </w:p>
          <w:p>
            <w:pPr>
              <w:pStyle w:val="Normal"/>
              <w:keepNext w:val="true"/>
              <w:rPr/>
            </w:pPr>
            <w:r>
              <w:rPr/>
              <w:t>Fax: (307) 684-0966</w:t>
            </w:r>
          </w:p>
          <w:p>
            <w:pPr>
              <w:pStyle w:val="Normal"/>
              <w:keepNext w:val="true"/>
              <w:spacing w:before="120" w:after="0"/>
              <w:rPr/>
            </w:pPr>
            <w:r>
              <w:rPr>
                <w:b/>
              </w:rPr>
              <w:t>Invoices</w:t>
            </w:r>
            <w:r>
              <w:rPr/>
              <w:t>:</w:t>
            </w:r>
          </w:p>
          <w:p>
            <w:pPr>
              <w:pStyle w:val="Normal"/>
              <w:keepNext w:val="true"/>
              <w:spacing w:before="120" w:after="0"/>
              <w:ind w:start="252" w:end="0"/>
              <w:rPr/>
            </w:pPr>
            <w:r>
              <w:rPr/>
              <w:t>Same as above</w:t>
            </w:r>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p>
            <w:pPr>
              <w:pStyle w:val="Normal"/>
              <w:keepNext w:val="true"/>
              <w:spacing w:before="120" w:after="0"/>
              <w:ind w:start="252" w:end="0"/>
              <w:rPr/>
            </w:pPr>
            <w:r>
              <w:rPr/>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F, and G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smallCaps/>
        </w:rPr>
      </w:pPr>
      <w:r>
        <w:rPr>
          <w:smallCaps/>
        </w:rPr>
        <w:t>ENRON MIDSTREAM SERVICES, L.L.C.</w:t>
        <w:tab/>
        <w:t>MTG OPERATING</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ind w:firstLine="720" w:start="3600" w:end="0"/>
        <w:rPr>
          <w:smallCaps/>
        </w:rPr>
      </w:pPr>
      <w:r>
        <w:rPr>
          <w:smallCaps/>
        </w:rPr>
        <w:tab/>
        <w:t>MICHAEL T. GUTHRIE</w:t>
      </w:r>
    </w:p>
    <w:p>
      <w:pPr>
        <w:pStyle w:val="Normal"/>
        <w:rPr>
          <w:smallCaps/>
        </w:rPr>
      </w:pPr>
      <w:r>
        <w:rPr>
          <w:smallCaps/>
        </w:rPr>
      </w:r>
    </w:p>
    <w:p>
      <w:pPr>
        <w:pStyle w:val="Normal"/>
        <w:rPr/>
      </w:pPr>
      <w:r>
        <w:rPr/>
      </w:r>
    </w:p>
    <w:p>
      <w:pPr>
        <w:pStyle w:val="Normal"/>
        <w:ind w:firstLine="720" w:start="3600" w:end="0"/>
        <w:rPr/>
      </w:pPr>
      <w:r>
        <w:rPr/>
        <w:tab/>
        <w:t>By:</w:t>
        <w:tab/>
      </w:r>
      <w:r>
        <w:rPr>
          <w:u w:val="single"/>
        </w:rPr>
        <w:tab/>
        <w:tab/>
        <w:tab/>
        <w:tab/>
        <w:tab/>
      </w:r>
    </w:p>
    <w:p>
      <w:pPr>
        <w:pStyle w:val="Normal"/>
        <w:rPr/>
      </w:pPr>
      <w:r>
        <w:rPr/>
      </w:r>
    </w:p>
    <w:p>
      <w:pPr>
        <w:pStyle w:val="Normal"/>
        <w:ind w:firstLine="720" w:start="3600" w:end="0"/>
        <w:rPr/>
      </w:pPr>
      <w:r>
        <w:rPr/>
        <w:tab/>
        <w:t>Name:</w:t>
        <w:tab/>
      </w:r>
      <w:r>
        <w:rPr>
          <w:u w:val="single"/>
        </w:rPr>
        <w:tab/>
        <w:tab/>
        <w:tab/>
        <w:tab/>
        <w:tab/>
      </w:r>
    </w:p>
    <w:p>
      <w:pPr>
        <w:pStyle w:val="Normal"/>
        <w:rPr/>
      </w:pPr>
      <w:r>
        <w:rPr/>
      </w:r>
    </w:p>
    <w:p>
      <w:pPr>
        <w:pStyle w:val="Normal"/>
        <w:ind w:firstLine="720" w:start="3600" w:end="0"/>
        <w:rPr/>
      </w:pPr>
      <w:r>
        <w:rPr/>
        <w:tab/>
        <w:t>Title:</w:t>
        <w:tab/>
      </w:r>
      <w:r>
        <w:rPr>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mean the Owner's Daily Deliverability of Gas which exceeds the Maximum Daily Quantity.</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Reserve Commitment Area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60,000 MMBtu per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Exhibit A.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Thermally Equivalent Quantities</w:t>
      </w:r>
      <w:r>
        <w:rPr/>
        <w:t>" shall mean the volume of gas delivered hereunder for Owner's account to the Delivery Point(s) which shall equal the thermal equivalent in MMBtu of the volume of gas received by Gatherer at the Receipt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ind w:hanging="0" w:start="0"/>
        <w:rPr/>
      </w:pPr>
      <w:r>
        <w:rPr>
          <w:b w:val="false"/>
        </w:rPr>
        <w:t xml:space="preserve">Owner shall deliver Gas at the Receipt Point(s) at the pressures specified on </w:t>
      </w:r>
      <w:r>
        <w:rPr>
          <w:b w:val="false"/>
          <w:u w:val="single"/>
        </w:rPr>
        <w:t>Exhibit C</w:t>
      </w:r>
      <w:r>
        <w:rPr>
          <w:b w:val="false"/>
        </w:rPr>
        <w:t>, not to exceed the maximum allowable operating pressure of Gatherer's gathering facilities.</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rPr/>
      </w:pPr>
      <w:r>
        <w:rPr/>
        <w:tab/>
        <w:t xml:space="preserve">(b) Be commercially free of all dust, non-vaporous hydrocarbon liquids,     </w:t>
      </w:r>
    </w:p>
    <w:p>
      <w:pPr>
        <w:pStyle w:val="Normal"/>
        <w:ind w:start="1080" w:end="0"/>
        <w:rPr/>
      </w:pPr>
      <w:r>
        <w:rPr/>
        <w:t>non-vaporous water, suspended matter, all gums and gum forming constituents and any other objectionable substances;</w:t>
      </w:r>
    </w:p>
    <w:p>
      <w:pPr>
        <w:pStyle w:val="Normal"/>
        <w:ind w:start="1080" w:end="0"/>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 (CO2);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w:t>
      </w:r>
    </w:p>
    <w:p>
      <w:pPr>
        <w:pStyle w:val="Normal"/>
        <w:jc w:val="both"/>
        <w:rPr/>
      </w:pPr>
      <w:r>
        <w:rPr/>
      </w:r>
    </w:p>
    <w:p>
      <w:pPr>
        <w:pStyle w:val="Normal"/>
        <w:jc w:val="both"/>
        <w:rPr/>
      </w:pPr>
      <w:r>
        <w:rPr/>
        <w:tab/>
        <w:t xml:space="preserve">(h) Not contain more than five (5) pounds of entrained water vapor per </w:t>
      </w:r>
    </w:p>
    <w:p>
      <w:pPr>
        <w:pStyle w:val="Normal"/>
        <w:ind w:firstLine="1080" w:end="0"/>
        <w:jc w:val="both"/>
        <w:rPr/>
      </w:pPr>
      <w:r>
        <w:rPr/>
        <w:t xml:space="preserve">million cubic feet and no free water; and </w:t>
      </w:r>
    </w:p>
    <w:p>
      <w:pPr>
        <w:pStyle w:val="Normal"/>
        <w:jc w:val="both"/>
        <w:rPr/>
      </w:pPr>
      <w:r>
        <w:rPr/>
      </w:r>
    </w:p>
    <w:p>
      <w:pPr>
        <w:pStyle w:val="Normal"/>
        <w:ind w:hanging="360" w:start="1080" w:end="0"/>
        <w:jc w:val="both"/>
        <w:rPr/>
      </w:pPr>
      <w:r>
        <w:rPr/>
        <w:t>(i)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pipelines, or compressors,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at the Receipt Point(s) and the Thermally Equivalent Quantity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 xml:space="preserve">Owner shall not assign or transfer its rights hereunder or in Owner's Reserves without first obtaining Gatherer's written consent to such assignment or transfer.  Owner's transfer in violation hereof shall be void. </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t>Owner will notify Gatherer as soon as reasonably possible of Owner's commencement of drilling of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Enron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t>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jc w:val="both"/>
        <w:rPr/>
      </w:pPr>
      <w:r>
        <w:rPr/>
        <w:t>[Receipt Point listed with minimum receipt pressures (psig) listed for each point.]</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pStyle w:val="Normal"/>
        <w:spacing w:before="120" w:after="0"/>
        <w:jc w:val="both"/>
        <w:rPr>
          <w:smallCaps/>
        </w:rPr>
      </w:pPr>
      <w:r>
        <w:rPr>
          <w:smallCaps/>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pPr>
      <w:r>
        <w:rPr/>
        <w:t>(Maximum Volume - __________ MCF)</w:t>
      </w:r>
    </w:p>
    <w:p>
      <w:pPr>
        <w:pStyle w:val="Normal"/>
        <w:spacing w:before="120" w:after="0"/>
        <w:rPr/>
      </w:pPr>
      <w:r>
        <w:rPr/>
        <w:t>2.</w:t>
        <w:tab/>
        <w:t>Colorado Interstate Gas Company- North Platte River Station</w:t>
      </w:r>
    </w:p>
    <w:p>
      <w:pPr>
        <w:pStyle w:val="Normal"/>
        <w:spacing w:before="120" w:after="0"/>
        <w:ind w:firstLine="720" w:end="0"/>
        <w:rPr/>
      </w:pPr>
      <w:r>
        <w:rPr/>
        <w:t>(Maximum Volume - __________ MCF)</w:t>
      </w:r>
    </w:p>
    <w:p>
      <w:pPr>
        <w:pStyle w:val="Normal"/>
        <w:spacing w:before="120" w:after="0"/>
        <w:rPr/>
      </w:pPr>
      <w:r>
        <w:rPr/>
        <w:t>3.</w:t>
        <w:tab/>
        <w:t>KN Energy, Inc. - KNI Interconnect Station</w:t>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pPr>
      <w:r>
        <w:rPr/>
        <w:t>(Maximum Volume - __________ MCF)</w:t>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Gathering Fee Schedule</w:t>
      </w:r>
    </w:p>
    <w:p>
      <w:pPr>
        <w:pStyle w:val="Normal"/>
        <w:spacing w:before="120" w:after="0"/>
        <w:jc w:val="both"/>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spacing w:before="120" w:after="0"/>
        <w:jc w:val="both"/>
        <w:rPr>
          <w:b/>
        </w:rPr>
      </w:pPr>
      <w:r>
        <w:rPr>
          <w:b/>
        </w:rPr>
        <w:t>[Plat of Reserve Commitment Area broken down into gathering areas and specifically stating the gathering fees for each gathering area and corresponding rachett down provision for each gathering area.]</w:t>
      </w:r>
    </w:p>
    <w:p>
      <w:pPr>
        <w:pStyle w:val="Normal"/>
        <w:spacing w:before="120" w:after="0"/>
        <w:jc w:val="both"/>
        <w:rPr>
          <w:b/>
        </w:rPr>
      </w:pPr>
      <w:r>
        <w:rPr>
          <w:b/>
        </w:rPr>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both"/>
        <w:rPr/>
      </w:pPr>
      <w:r>
        <w:rPr/>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pPr>
      <w:r>
        <w:rPr/>
        <w:t>Except as otherwise agreed by Gatherer, the metering facilities to measure the volumes of Gas delivered at each Receipt Point and Delivery Point shall be maintained and operated or caused to be maintained and operated by Gatherer.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Gatherer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pPr>
      <w:r>
        <w:rPr/>
      </w:r>
    </w:p>
    <w:p>
      <w:pPr>
        <w:pStyle w:val="Normal"/>
        <w:spacing w:before="120" w:after="0"/>
        <w:jc w:val="center"/>
        <w:rPr>
          <w:b/>
        </w:rPr>
      </w:pPr>
      <w:r>
        <w:rPr>
          <w:b/>
        </w:rPr>
      </w:r>
    </w:p>
    <w:p>
      <w:pPr>
        <w:pStyle w:val="BodyText"/>
        <w:spacing w:before="0" w:after="240"/>
        <w:rPr>
          <w:b/>
        </w:rPr>
      </w:pPr>
      <w:r>
        <w:rPr>
          <w:b/>
        </w:rPr>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/mnt/main-storage/datasets/enron-docs/doc/gatheringagreement7-3915a9ca3229b1884bbf759bb164f2931d8c3f91078c7dffe3273b4687cc9055.doc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1999-09-14T15:52:00Z</dcterms:created>
  <dc:creator>M_HUGHES</dc:creator>
  <dc:description/>
  <dc:language>en-CA</dc:language>
  <cp:lastModifiedBy>gnemec</cp:lastModifiedBy>
  <cp:lastPrinted>1999-09-14T15:25:00Z</cp:lastPrinted>
  <dcterms:modified xsi:type="dcterms:W3CDTF">1999-09-14T18:27:00Z</dcterms:modified>
  <cp:revision>23</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