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del w:id="0" w:author="gnemec" w:date="1999-08-25T21:12:00Z">
        <w:r>
          <w:rPr>
            <w:u w:val="single"/>
          </w:rPr>
          <w:tab/>
          <w:tab/>
          <w:tab/>
        </w:r>
      </w:del>
      <w:del w:id="1" w:author="gnemec" w:date="1999-08-25T21:12:00Z">
        <w:r>
          <w:rPr/>
          <w:delText>, 19</w:delText>
        </w:r>
      </w:del>
      <w:del w:id="2" w:author="gnemec" w:date="1999-08-25T21:12:00Z">
        <w:r>
          <w:rPr>
            <w:u w:val="single"/>
          </w:rPr>
          <w:tab/>
        </w:r>
      </w:del>
      <w:del w:id="3" w:author="gnemec" w:date="1999-08-25T21:12:00Z">
        <w:r>
          <w:rPr/>
          <w:delText>,</w:delText>
        </w:r>
      </w:del>
      <w:ins w:id="4" w:author="gnemec" w:date="1999-08-25T21:12:00Z">
        <w:r>
          <w:rPr/>
          <w:t>August, 1999,</w:t>
        </w:r>
      </w:ins>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del w:id="14" w:author="gnemec" w:date="1999-08-25T21:12:00Z"/>
        </w:rPr>
      </w:pPr>
      <w:del w:id="5" w:author="gnemec" w:date="1999-08-25T21:12:00Z">
        <w:r>
          <w:rPr/>
          <w:delText>Section 4.2</w:delText>
        </w:r>
      </w:del>
      <w:del w:id="6" w:author="gnemec" w:date="1999-08-25T21:12:00Z">
        <w:r>
          <w:rPr>
            <w:b/>
          </w:rPr>
          <w:tab/>
        </w:r>
      </w:del>
      <w:del w:id="7" w:author="gnemec" w:date="1999-08-25T21:12:00Z">
        <w:r>
          <w:rPr>
            <w:b/>
            <w:u w:val="single"/>
          </w:rPr>
          <w:delText>Collection Facilities Fee</w:delText>
        </w:r>
      </w:del>
      <w:del w:id="8" w:author="gnemec" w:date="1999-08-25T21:12:00Z">
        <w:r>
          <w:rPr>
            <w:b/>
          </w:rPr>
          <w:delText xml:space="preserve">.  </w:delText>
        </w:r>
      </w:del>
      <w:del w:id="9" w:author="gnemec" w:date="1999-08-25T21:12:00Z">
        <w:r>
          <w:rPr/>
          <w:delText>In addition to the Gathering Fee, the Owner shall pay to Gatherer a Collection Facilities fee ("</w:delText>
        </w:r>
      </w:del>
      <w:del w:id="10" w:author="gnemec" w:date="1999-08-25T21:12:00Z">
        <w:r>
          <w:rPr>
            <w:u w:val="single"/>
          </w:rPr>
          <w:delText>Collection Facilities Fee</w:delText>
        </w:r>
      </w:del>
      <w:del w:id="11" w:author="gnemec" w:date="1999-08-25T21:12:00Z">
        <w:r>
          <w:rPr/>
          <w:delText>") in consideration of the funding obligations of Gatherer under Article VI of this Agreement.  The Collection Facilities Fee shall be $0.04 per Mcf for (i) all quantities of Gas measured at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Gatherer of sufficient Collection Facilities Fees which result in a return of and a 15% rate of return on (adjusted for time value of money) (the "</w:delText>
        </w:r>
      </w:del>
      <w:del w:id="12" w:author="gnemec" w:date="1999-08-25T21:12:00Z">
        <w:r>
          <w:rPr>
            <w:u w:val="single"/>
          </w:rPr>
          <w:delText>Return</w:delText>
        </w:r>
      </w:del>
      <w:del w:id="13" w:author="gnemec" w:date="1999-08-25T21:12:00Z">
        <w:r>
          <w:rPr/>
          <w:delText>") the Funded Amount.  The Return on the Funded Amounts shall be calculated from the day of their funding in accordance with Section 6.3 of this Agreement.  Gatherer shall perform all tracking and accounting for calculating the Return and provide Owner with semi-annual statements concerning the status of the Return and written notice of satisfaction and termination of the Return and Collection Facilities Fee, respectively. Owner's obligations under this Section 4.2 shall survive the termination of this Agreement and the Gas Purchase Agreement until such obligations have been completely satisfied in accordance with the terms hereof.</w:delText>
        </w:r>
      </w:del>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w:t>
      </w:r>
      <w:del w:id="15" w:author="gnemec" w:date="1999-08-25T21:12:00Z">
        <w:r>
          <w:rPr/>
          <w:delText>or the Collection Facilities Fee</w:delText>
        </w:r>
      </w:del>
      <w:r>
        <w:rPr/>
        <w:t xml:space="preserve">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0"/>
        </w:numPr>
        <w:ind w:hanging="0" w:start="0"/>
        <w:rPr>
          <w:vanish w:val="false"/>
          <w:del w:id="17" w:author="gnemec" w:date="1999-08-25T21:12:00Z"/>
        </w:rPr>
      </w:pPr>
      <w:del w:id="16" w:author="gnemec" w:date="1999-08-25T21:12:00Z">
        <w:r>
          <w:rPr>
            <w:vanish w:val="false"/>
          </w:rPr>
        </w:r>
      </w:del>
    </w:p>
    <w:p>
      <w:pPr>
        <w:pStyle w:val="MimicLev1"/>
        <w:rPr>
          <w:del w:id="21" w:author="gnemec" w:date="1999-08-25T21:12:00Z"/>
        </w:rPr>
      </w:pPr>
      <w:del w:id="18" w:author="gnemec" w:date="1999-08-25T21:12:00Z">
        <w:r>
          <w:rPr/>
          <w:delText xml:space="preserve">Article   </w:delText>
        </w:r>
      </w:del>
      <w:del w:id="19" w:author="gnemec" w:date="1999-08-25T21:12:00Z">
        <w:r>
          <w:rPr/>
          <w:fldChar w:fldCharType="begin"/>
        </w:r>
        <w:r>
          <w:rPr/>
          <w:delInstrText xml:space="preserve"> SEQ 1 \* ARABIC </w:delInstrText>
        </w:r>
        <w:r>
          <w:rPr/>
          <w:fldChar w:fldCharType="separate"/>
        </w:r>
        <w:r>
          <w:rPr/>
          <w:delText>2</w:delText>
        </w:r>
        <w:r>
          <w:rPr/>
          <w:fldChar w:fldCharType="end"/>
        </w:r>
      </w:del>
      <w:del w:id="20" w:author="gnemec" w:date="1999-08-25T21:12:00Z">
        <w:r>
          <w:rPr/>
          <w:br/>
          <w:delText>Collection Facilities</w:delText>
        </w:r>
      </w:del>
    </w:p>
    <w:p>
      <w:pPr>
        <w:pStyle w:val="Heading2"/>
        <w:numPr>
          <w:ilvl w:val="0"/>
          <w:numId w:val="0"/>
        </w:numPr>
        <w:ind w:firstLine="720" w:start="0" w:end="0"/>
        <w:rPr>
          <w:del w:id="27" w:author="gnemec" w:date="1999-08-25T21:12:00Z"/>
        </w:rPr>
      </w:pPr>
      <w:del w:id="22" w:author="gnemec" w:date="1999-08-25T21:12:00Z">
        <w:r>
          <w:rPr/>
          <w:delText>Section 6.1</w:delText>
        </w:r>
      </w:del>
      <w:del w:id="23" w:author="gnemec" w:date="1999-08-25T21:12:00Z">
        <w:r>
          <w:rPr>
            <w:b/>
          </w:rPr>
          <w:tab/>
        </w:r>
      </w:del>
      <w:del w:id="24" w:author="gnemec" w:date="1999-08-25T21:12:00Z">
        <w:r>
          <w:rPr>
            <w:b/>
            <w:u w:val="single"/>
          </w:rPr>
          <w:delText>Construction</w:delText>
        </w:r>
      </w:del>
      <w:del w:id="25" w:author="gnemec" w:date="1999-08-25T21:12:00Z">
        <w:r>
          <w:rPr>
            <w:b/>
          </w:rPr>
          <w:delText xml:space="preserve">.  </w:delText>
        </w:r>
      </w:del>
      <w:del w:id="26" w:author="gnemec" w:date="1999-08-25T21:12:00Z">
        <w:r>
          <w:rPr/>
          <w:delText xml:space="preserve">Owner shall design, construct, and own the Collection Facilities in a good and workmanlike manner and in accordance with standard industry practices.  </w:delText>
        </w:r>
      </w:del>
    </w:p>
    <w:p>
      <w:pPr>
        <w:pStyle w:val="Heading2"/>
        <w:numPr>
          <w:ilvl w:val="0"/>
          <w:numId w:val="0"/>
        </w:numPr>
        <w:ind w:firstLine="720" w:start="0" w:end="0"/>
        <w:rPr>
          <w:del w:id="33" w:author="gnemec" w:date="1999-08-25T21:12:00Z"/>
        </w:rPr>
      </w:pPr>
      <w:del w:id="28" w:author="gnemec" w:date="1999-08-25T21:12:00Z">
        <w:r>
          <w:rPr/>
          <w:delText>Section 6.2</w:delText>
        </w:r>
      </w:del>
      <w:del w:id="29" w:author="gnemec" w:date="1999-08-25T21:12:00Z">
        <w:r>
          <w:rPr>
            <w:b/>
          </w:rPr>
          <w:tab/>
        </w:r>
      </w:del>
      <w:del w:id="30" w:author="gnemec" w:date="1999-08-25T21:12:00Z">
        <w:r>
          <w:rPr>
            <w:b/>
            <w:u w:val="single"/>
          </w:rPr>
          <w:delText>Funding of Construction</w:delText>
        </w:r>
      </w:del>
      <w:del w:id="31" w:author="gnemec" w:date="1999-08-25T21:12:00Z">
        <w:r>
          <w:rPr>
            <w:b/>
          </w:rPr>
          <w:delText xml:space="preserve">.  </w:delText>
        </w:r>
      </w:del>
      <w:del w:id="32" w:author="gnemec" w:date="1999-08-25T21:12:00Z">
        <w:r>
          <w:rPr/>
          <w:delText>Gatherer shall contribute, in accordance with the procedures set forth in Section 6.3 of this Agreement, up to $750,000 (the "Funded Amount") to be used solely for all costs and expenses associated with the construction of the Collection Facilities.</w:delText>
        </w:r>
      </w:del>
    </w:p>
    <w:p>
      <w:pPr>
        <w:pStyle w:val="Heading2"/>
        <w:numPr>
          <w:ilvl w:val="0"/>
          <w:numId w:val="0"/>
        </w:numPr>
        <w:ind w:firstLine="720" w:start="0" w:end="0"/>
        <w:rPr>
          <w:del w:id="39" w:author="gnemec" w:date="1999-08-25T21:12:00Z"/>
        </w:rPr>
      </w:pPr>
      <w:del w:id="34" w:author="gnemec" w:date="1999-08-25T21:12:00Z">
        <w:r>
          <w:rPr/>
          <w:delText>Section 6.3</w:delText>
        </w:r>
      </w:del>
      <w:del w:id="35" w:author="gnemec" w:date="1999-08-25T21:12:00Z">
        <w:r>
          <w:rPr>
            <w:b/>
          </w:rPr>
          <w:tab/>
        </w:r>
      </w:del>
      <w:del w:id="36" w:author="gnemec" w:date="1999-08-25T21:12:00Z">
        <w:r>
          <w:rPr>
            <w:b/>
            <w:u w:val="single"/>
          </w:rPr>
          <w:delText>Construction Funding Procedure</w:delText>
        </w:r>
      </w:del>
      <w:del w:id="37" w:author="gnemec" w:date="1999-08-25T21:12:00Z">
        <w:r>
          <w:rPr>
            <w:b/>
          </w:rPr>
          <w:delText xml:space="preserve">.  </w:delText>
        </w:r>
      </w:del>
      <w:del w:id="38" w:author="gnemec" w:date="1999-08-25T21:12:00Z">
        <w:r>
          <w:rPr/>
          <w:delText>Owner shall provide to Gatherer a monthly summarized statement of construction costs and expenses incurred by Owner for the previous month for the Collection Facilities along with copies of original invoices and supporting documentation.  Gatherer shall fund to Owner the amount of all such summarized statements approved by Gatherer up to the Funded Amount, subject to the reasonable engineering and operational review by Gatherer of the Collection Facilities for including, without limitation, construction progress, system design, system capacity, quality review, and operational integrity.  If Gatherer's review reveals that the Collection Facilities are not capable of flowing Owner's Daily Deliverability of Gas in accordance with standard industry practices, Gatherer shall so notify Owner of such incapacity and Owner shall promptly make the necessary corrections before Gatherer shall fund any amounts under this Article 6.  Gatherer shall complete its review of all or a portion the Collection Facilities within 15 days of Owner notification that all or a portion of the Collection Facilities are completed.  Gatherer shall forward to Owner the funds for an approved summarized statement within 20 days of receipt thereof, subject to Gatherer's review and approval as above.</w:delText>
        </w:r>
      </w:del>
    </w:p>
    <w:p>
      <w:pPr>
        <w:pStyle w:val="Heading2"/>
        <w:numPr>
          <w:ilvl w:val="0"/>
          <w:numId w:val="0"/>
        </w:numPr>
        <w:ind w:firstLine="720" w:start="0" w:end="0"/>
        <w:rPr>
          <w:del w:id="44" w:author="gnemec" w:date="1999-08-25T21:12:00Z"/>
        </w:rPr>
      </w:pPr>
      <w:del w:id="40" w:author="gnemec" w:date="1999-08-25T21:12:00Z">
        <w:r>
          <w:rPr/>
          <w:delText>Section 6.4</w:delText>
          <w:tab/>
        </w:r>
      </w:del>
      <w:del w:id="41" w:author="gnemec" w:date="1999-08-25T21:12:00Z">
        <w:r>
          <w:rPr>
            <w:b/>
            <w:u w:val="single"/>
          </w:rPr>
          <w:delText>Security Documents</w:delText>
        </w:r>
      </w:del>
      <w:del w:id="42" w:author="gnemec" w:date="1999-08-25T21:12:00Z">
        <w:r>
          <w:rPr>
            <w:b/>
          </w:rPr>
          <w:delText>.</w:delText>
        </w:r>
      </w:del>
      <w:del w:id="43" w:author="gnemec" w:date="1999-08-25T21:12:00Z">
        <w:r>
          <w:rPr/>
          <w:delText xml:space="preserve">  The obligation of Gatherer to fund any amounts under this Article 6 is subject to the receipt by the Gatherer of the Security Agreement duly executed and delivered by Owner and Gatherer.</w:delText>
        </w:r>
      </w:del>
    </w:p>
    <w:p>
      <w:pPr>
        <w:pStyle w:val="Heading2"/>
        <w:numPr>
          <w:ilvl w:val="0"/>
          <w:numId w:val="0"/>
        </w:numPr>
        <w:ind w:firstLine="720" w:start="0" w:end="0"/>
        <w:rPr>
          <w:del w:id="48" w:author="gnemec" w:date="1999-08-25T21:12:00Z"/>
        </w:rPr>
      </w:pPr>
      <w:del w:id="45" w:author="gnemec" w:date="1999-08-25T21:12:00Z">
        <w:r>
          <w:rPr/>
          <w:delText>Section 6.5</w:delText>
          <w:tab/>
        </w:r>
      </w:del>
      <w:del w:id="46" w:author="gnemec" w:date="1999-08-25T21:12:00Z">
        <w:r>
          <w:rPr>
            <w:b/>
            <w:u w:val="single"/>
          </w:rPr>
          <w:delText>Representation and Warranties concerning the Collection Facilities</w:delText>
        </w:r>
      </w:del>
      <w:del w:id="47" w:author="gnemec" w:date="1999-08-25T21:12:00Z">
        <w:r>
          <w:rPr/>
          <w:delText>.  Owner represents and warrants that:</w:delText>
        </w:r>
      </w:del>
    </w:p>
    <w:p>
      <w:pPr>
        <w:pStyle w:val="Heading2"/>
        <w:numPr>
          <w:ilvl w:val="0"/>
          <w:numId w:val="0"/>
        </w:numPr>
        <w:ind w:firstLine="720" w:start="0" w:end="0"/>
        <w:rPr>
          <w:del w:id="50" w:author="gnemec" w:date="1999-08-25T21:12:00Z"/>
        </w:rPr>
      </w:pPr>
      <w:del w:id="49" w:author="gnemec" w:date="1999-08-25T21:12:00Z">
        <w:r>
          <w:rPr/>
          <w:delText>a.  Owner owns good and marketable title to the Collection Facilities;</w:delText>
        </w:r>
      </w:del>
    </w:p>
    <w:p>
      <w:pPr>
        <w:pStyle w:val="Heading2"/>
        <w:numPr>
          <w:ilvl w:val="0"/>
          <w:numId w:val="0"/>
        </w:numPr>
        <w:ind w:firstLine="720" w:start="0" w:end="0"/>
        <w:rPr>
          <w:del w:id="52" w:author="gnemec" w:date="1999-08-25T21:12:00Z"/>
        </w:rPr>
      </w:pPr>
      <w:del w:id="51" w:author="gnemec" w:date="1999-08-25T21:12:00Z">
        <w:r>
          <w:rPr/>
          <w:delText>b.  the Collection Facilities are free and clear of any liens and encumbrances;</w:delText>
        </w:r>
      </w:del>
    </w:p>
    <w:p>
      <w:pPr>
        <w:pStyle w:val="Heading2"/>
        <w:numPr>
          <w:ilvl w:val="0"/>
          <w:numId w:val="0"/>
        </w:numPr>
        <w:tabs>
          <w:tab w:val="clear" w:pos="720"/>
          <w:tab w:val="left" w:pos="1080" w:leader="none"/>
        </w:tabs>
        <w:ind w:firstLine="720" w:start="0" w:end="0"/>
        <w:rPr>
          <w:del w:id="54" w:author="gnemec" w:date="1999-08-25T21:12:00Z"/>
        </w:rPr>
      </w:pPr>
      <w:del w:id="53" w:author="gnemec" w:date="1999-08-25T21:12:00Z">
        <w:r>
          <w:rPr/>
          <w:delText xml:space="preserve">c. </w:delText>
          <w:tab/>
          <w:delText xml:space="preserve">all governmental approvals, permits, and licenses required for the construction, operation, and maintenance of the Collection Facilities have been obtained and are in full force and effect; and </w:delText>
        </w:r>
      </w:del>
    </w:p>
    <w:p>
      <w:pPr>
        <w:pStyle w:val="Heading2"/>
        <w:numPr>
          <w:ilvl w:val="0"/>
          <w:numId w:val="0"/>
        </w:numPr>
        <w:ind w:firstLine="720" w:start="0" w:end="0"/>
        <w:rPr>
          <w:del w:id="56" w:author="gnemec" w:date="1999-08-25T21:12:00Z"/>
        </w:rPr>
      </w:pPr>
      <w:del w:id="55" w:author="gnemec" w:date="1999-08-25T21:12:00Z">
        <w:r>
          <w:rPr/>
          <w:delText>d.  there are no environmental circumstances, conditions, or occurrences regarding the Collection Facilities that would cause the Collection Facilities to any restrictions, on ownership, use or transferability under any environmental law that would hinder or restrict the Owner or any other party from operating the Collection Facilities as intended hereunder.</w:delText>
        </w:r>
      </w:del>
    </w:p>
    <w:p>
      <w:pPr>
        <w:pStyle w:val="MimicLev1"/>
        <w:jc w:val="both"/>
        <w:rPr>
          <w:del w:id="65" w:author="gnemec" w:date="1999-08-25T21:12:00Z"/>
        </w:rPr>
      </w:pPr>
      <w:del w:id="57" w:author="gnemec" w:date="1999-08-25T21:12:00Z">
        <w:r>
          <w:rPr>
            <w:caps w:val="false"/>
            <w:smallCaps w:val="false"/>
          </w:rPr>
          <w:delText xml:space="preserve"> </w:delText>
        </w:r>
      </w:del>
      <w:del w:id="58" w:author="gnemec" w:date="1999-08-25T21:12:00Z">
        <w:r>
          <w:rPr>
            <w:caps w:val="false"/>
            <w:smallCaps w:val="false"/>
          </w:rPr>
          <w:tab/>
        </w:r>
      </w:del>
      <w:del w:id="59" w:author="gnemec" w:date="1999-08-25T21:12:00Z">
        <w:r>
          <w:rPr>
            <w:b w:val="false"/>
            <w:caps w:val="false"/>
            <w:smallCaps w:val="false"/>
          </w:rPr>
          <w:delText>Section 6.6</w:delText>
        </w:r>
      </w:del>
      <w:del w:id="60" w:author="gnemec" w:date="1999-08-25T21:12:00Z">
        <w:r>
          <w:rPr>
            <w:caps w:val="false"/>
            <w:smallCaps w:val="false"/>
          </w:rPr>
          <w:tab/>
        </w:r>
      </w:del>
      <w:del w:id="61" w:author="gnemec" w:date="1999-08-25T21:12:00Z">
        <w:r>
          <w:rPr>
            <w:caps w:val="false"/>
            <w:smallCaps w:val="false"/>
            <w:u w:val="single"/>
          </w:rPr>
          <w:delText>Operation and Maintenance</w:delText>
        </w:r>
      </w:del>
      <w:del w:id="62" w:author="gnemec" w:date="1999-08-25T21:12:00Z">
        <w:r>
          <w:rPr>
            <w:caps w:val="false"/>
            <w:smallCaps w:val="false"/>
          </w:rPr>
          <w:delText>.</w:delText>
          <w:tab/>
        </w:r>
      </w:del>
      <w:del w:id="63" w:author="gnemec" w:date="1999-08-25T21:12:00Z">
        <w:r>
          <w:rPr>
            <w:b w:val="false"/>
            <w:caps w:val="false"/>
            <w:smallCaps w:val="false"/>
          </w:rPr>
          <w:delText xml:space="preserve">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 </w:delText>
        </w:r>
      </w:del>
      <w:del w:id="64" w:author="gnemec" w:date="1999-08-25T21:12:00Z">
        <w:r>
          <w:rPr>
            <w:caps w:val="false"/>
            <w:smallCaps w:val="false"/>
          </w:rPr>
          <w:tab/>
        </w:r>
      </w:del>
    </w:p>
    <w:p>
      <w:pPr>
        <w:pStyle w:val="BodyText"/>
        <w:rPr>
          <w:del w:id="71" w:author="gnemec" w:date="1999-08-25T21:12:00Z"/>
        </w:rPr>
      </w:pPr>
      <w:del w:id="66" w:author="gnemec" w:date="1999-08-25T21:12:00Z">
        <w:r>
          <w:rPr/>
          <w:delText>Section 6.7</w:delText>
          <w:tab/>
        </w:r>
      </w:del>
      <w:del w:id="67" w:author="gnemec" w:date="1999-08-25T21:12:00Z">
        <w:r>
          <w:rPr>
            <w:b/>
            <w:u w:val="single"/>
          </w:rPr>
          <w:delText>Insurance</w:delText>
        </w:r>
      </w:del>
      <w:del w:id="68" w:author="gnemec" w:date="1999-08-25T21:12:00Z">
        <w:r>
          <w:rPr/>
          <w:delText>.</w:delText>
        </w:r>
      </w:del>
      <w:del w:id="69" w:author="gnemec" w:date="1999-08-25T21:12:00Z">
        <w:r>
          <w:rPr>
            <w:smallCaps/>
          </w:rPr>
          <w:tab/>
        </w:r>
      </w:del>
      <w:del w:id="70" w:author="gnemec" w:date="1999-08-25T21:12:00Z">
        <w:r>
          <w:rPr/>
          <w:delText>Owner shall, at Owner's sole cost and expense, have and maintain insurance in such amounts, against such risks (including, without limitation, public liability insurance) with such carriers and in such form as shall be satisfactory to Gatherer, such insurance requirements as set forth in Exhibit G.  During the term of this Agreement Owner shall obtain and maintain in effect waivers of subrogation from its insurers, each in favor of Gatherer, under the policies required hereunder.  Further, during the term of this Agreement, Owner shall cause Gatherer to be named as an additional insured on its public liability policies applicable hereto, subject to existing deductibles and other provisions contained in such policies.  Owner shall provide prior written notice to Gatherer of any intended material alteration of insurance coverage required to be maintained under this Paragraph 11 and shall not make any such changes without Gatherer's consent.  In addition, Owner shall provide to Gatherer immediate notice of any cancellation or material alteration of coverage upon receiving notice thereof from any carrier.  Not less than ten days prior to the expiration date of any policies required hereunder, Owner shall deliver evidence to Gatherer of insurance, in substantially the same form as previously held evidencing renewal or replacement thereof.</w:delText>
        </w:r>
      </w:del>
    </w:p>
    <w:p>
      <w:pPr>
        <w:pStyle w:val="MimicLev1"/>
        <w:ind w:firstLine="720" w:end="0"/>
        <w:jc w:val="both"/>
        <w:rPr>
          <w:b w:val="false"/>
          <w:caps w:val="false"/>
          <w:smallCaps w:val="false"/>
          <w:del w:id="73" w:author="gnemec" w:date="1999-08-25T21:12:00Z"/>
        </w:rPr>
      </w:pPr>
      <w:del w:id="72" w:author="gnemec" w:date="1999-08-25T21:12:00Z">
        <w:r>
          <w:rPr>
            <w:b w:val="false"/>
            <w:caps w:val="false"/>
            <w:smallCaps w:val="false"/>
          </w:rPr>
        </w:r>
      </w:del>
    </w:p>
    <w:p>
      <w:pPr>
        <w:pStyle w:val="Heading2"/>
        <w:numPr>
          <w:ilvl w:val="0"/>
          <w:numId w:val="0"/>
        </w:numPr>
        <w:ind w:hanging="0" w:start="0"/>
        <w:rPr>
          <w:smallCaps/>
          <w:del w:id="75" w:author="gnemec" w:date="1999-08-25T21:12:00Z"/>
        </w:rPr>
      </w:pPr>
      <w:del w:id="74" w:author="gnemec" w:date="1999-08-25T21:12:00Z">
        <w:r>
          <w:rPr>
            <w:smallCaps/>
          </w:rPr>
          <w:tab/>
        </w:r>
      </w:del>
    </w:p>
    <w:p>
      <w:pPr>
        <w:pStyle w:val="Heading2"/>
        <w:numPr>
          <w:ilvl w:val="0"/>
          <w:numId w:val="0"/>
        </w:numPr>
        <w:ind w:hanging="0" w:start="0"/>
        <w:rPr>
          <w:del w:id="77" w:author="gnemec" w:date="1999-08-25T21:12:00Z"/>
        </w:rPr>
      </w:pPr>
      <w:del w:id="76" w:author="gnemec" w:date="1999-08-25T21:12:00Z">
        <w:r>
          <w:rPr/>
        </w:r>
      </w:del>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del w:id="81" w:author="gnemec" w:date="1999-08-25T21:12:00Z"/>
        </w:rPr>
      </w:pPr>
      <w:del w:id="78" w:author="gnemec" w:date="1999-08-25T21:12:00Z">
        <w:r>
          <w:rPr/>
          <w:delText>"</w:delText>
        </w:r>
      </w:del>
      <w:del w:id="79" w:author="gnemec" w:date="1999-08-25T21:12:00Z">
        <w:r>
          <w:rPr>
            <w:b/>
            <w:u w:val="single"/>
          </w:rPr>
          <w:delText>Collection Facilities</w:delText>
        </w:r>
      </w:del>
      <w:del w:id="80" w:author="gnemec" w:date="1999-08-25T21:12:00Z">
        <w:r>
          <w:rPr/>
          <w:delTex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delText>
        </w:r>
      </w:del>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mean the Owner's Daily Deliverability of Gas which exceeds the Maximum Daily Quantity.</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Security Agreement</w:t>
      </w:r>
      <w:r>
        <w:rPr/>
        <w:t>" shall mean the Security Agreement to be entered into between Gatherer and Owner in substantially the form of Exhibit H.</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gathering fees for each gathering area]</w:t>
      </w:r>
    </w:p>
    <w:p>
      <w:pPr>
        <w:pStyle w:val="Normal"/>
        <w:spacing w:before="120" w:after="0"/>
        <w:jc w:val="both"/>
        <w:rPr>
          <w:b/>
        </w:rPr>
      </w:pPr>
      <w:r>
        <w:rPr>
          <w:b/>
        </w:rPr>
      </w:r>
    </w:p>
    <w:p>
      <w:pPr>
        <w:pStyle w:val="Normal"/>
        <w:spacing w:before="120" w:after="0"/>
        <w:jc w:val="both"/>
        <w:rPr/>
      </w:pPr>
      <w:r>
        <w:rPr/>
      </w:r>
    </w:p>
    <w:p>
      <w:pPr>
        <w:pStyle w:val="Normal"/>
        <w:spacing w:before="120" w:after="0"/>
        <w:rPr>
          <w:b/>
        </w:rPr>
      </w:pPr>
      <w:r>
        <w:rPr>
          <w:b/>
        </w:rPr>
        <w:t>[For Caballeros Area of the Reserve Commitment Area only, the following shall be applicable to the Gathering Fee calculation:</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rPr>
      </w:pPr>
      <w:r>
        <w:rPr>
          <w:b/>
        </w:rPr>
        <w: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t>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pStyle w:val="FootnoteText"/>
        <w:rPr/>
      </w:pPr>
      <w:r>
        <w:rPr/>
      </w:r>
    </w:p>
    <w:p>
      <w:pPr>
        <w:pStyle w:val="Footer"/>
        <w:tabs>
          <w:tab w:val="clear" w:pos="4320"/>
          <w:tab w:val="clear" w:pos="8640"/>
        </w:tabs>
        <w:jc w:val="center"/>
        <w:rPr>
          <w:b/>
          <w:smallCaps/>
          <w:del w:id="85" w:author="gnemec" w:date="1999-08-25T21:12:00Z"/>
        </w:rPr>
      </w:pPr>
      <w:del w:id="84" w:author="gnemec" w:date="1999-08-25T21:12:00Z">
        <w:r>
          <w:rPr>
            <w:b/>
            <w:smallCaps/>
          </w:rPr>
          <w:delText>EXHIBIT G</w:delText>
        </w:r>
      </w:del>
    </w:p>
    <w:p>
      <w:pPr>
        <w:pStyle w:val="Footer"/>
        <w:tabs>
          <w:tab w:val="clear" w:pos="4320"/>
          <w:tab w:val="clear" w:pos="8640"/>
        </w:tabs>
        <w:jc w:val="center"/>
        <w:rPr>
          <w:b/>
          <w:smallCaps/>
          <w:del w:id="87" w:author="gnemec" w:date="1999-08-25T21:12:00Z"/>
        </w:rPr>
      </w:pPr>
      <w:del w:id="86" w:author="gnemec" w:date="1999-08-25T21:12:00Z">
        <w:r>
          <w:rPr>
            <w:b/>
            <w:smallCaps/>
          </w:rPr>
          <w:delText>TO THE</w:delText>
        </w:r>
      </w:del>
    </w:p>
    <w:p>
      <w:pPr>
        <w:pStyle w:val="Footer"/>
        <w:tabs>
          <w:tab w:val="clear" w:pos="4320"/>
          <w:tab w:val="clear" w:pos="8640"/>
        </w:tabs>
        <w:jc w:val="center"/>
        <w:rPr>
          <w:b/>
          <w:smallCaps/>
          <w:del w:id="89" w:author="gnemec" w:date="1999-08-25T21:12:00Z"/>
        </w:rPr>
      </w:pPr>
      <w:del w:id="88" w:author="gnemec" w:date="1999-08-25T21:12:00Z">
        <w:r>
          <w:rPr>
            <w:b/>
            <w:smallCaps/>
          </w:rPr>
          <w:delText>GATHERING SERVICES AGREEMENT</w:delText>
        </w:r>
      </w:del>
    </w:p>
    <w:p>
      <w:pPr>
        <w:pStyle w:val="Footer"/>
        <w:tabs>
          <w:tab w:val="clear" w:pos="4320"/>
          <w:tab w:val="clear" w:pos="8640"/>
        </w:tabs>
        <w:jc w:val="center"/>
        <w:rPr>
          <w:b/>
          <w:smallCaps/>
          <w:del w:id="91" w:author="gnemec" w:date="1999-08-25T21:12:00Z"/>
        </w:rPr>
      </w:pPr>
      <w:del w:id="90" w:author="gnemec" w:date="1999-08-25T21:12:00Z">
        <w:r>
          <w:rPr>
            <w:b/>
            <w:smallCaps/>
          </w:rPr>
        </w:r>
      </w:del>
    </w:p>
    <w:p>
      <w:pPr>
        <w:pStyle w:val="Normal"/>
        <w:spacing w:before="120" w:after="0"/>
        <w:jc w:val="center"/>
        <w:rPr>
          <w:b/>
          <w:del w:id="93" w:author="gnemec" w:date="1999-08-25T21:12:00Z"/>
        </w:rPr>
      </w:pPr>
      <w:del w:id="92" w:author="gnemec" w:date="1999-08-25T21:12:00Z">
        <w:r>
          <w:rPr>
            <w:b/>
          </w:rPr>
          <w:delText>INSURANCE REQUIREMENTS</w:delText>
        </w:r>
      </w:del>
    </w:p>
    <w:p>
      <w:pPr>
        <w:sectPr>
          <w:headerReference w:type="default" r:id="rId38"/>
          <w:headerReference w:type="first" r:id="rId39"/>
          <w:footerReference w:type="default" r:id="rId40"/>
          <w:footerReference w:type="first" r:id="rId4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del w:id="97" w:author="gnemec" w:date="1999-08-25T21:12:00Z"/>
        </w:rPr>
      </w:pPr>
      <w:del w:id="94" w:author="gnemec" w:date="1999-08-25T21:12:00Z">
        <w:r>
          <w:rPr>
            <w:b/>
          </w:rPr>
        </w:r>
      </w:del>
    </w:p>
    <w:p>
      <w:pPr>
        <w:pStyle w:val="Footer"/>
        <w:tabs>
          <w:tab w:val="clear" w:pos="4320"/>
          <w:tab w:val="clear" w:pos="8640"/>
        </w:tabs>
        <w:jc w:val="center"/>
        <w:rPr>
          <w:b/>
          <w:smallCaps/>
          <w:del w:id="99" w:author="gnemec" w:date="1999-08-25T21:12:00Z"/>
        </w:rPr>
      </w:pPr>
      <w:del w:id="98" w:author="gnemec" w:date="1999-08-25T21:12:00Z">
        <w:r>
          <w:rPr>
            <w:b/>
            <w:smallCaps/>
          </w:rPr>
          <w:delText>EXHIBIT H</w:delText>
        </w:r>
      </w:del>
    </w:p>
    <w:p>
      <w:pPr>
        <w:pStyle w:val="Footer"/>
        <w:tabs>
          <w:tab w:val="clear" w:pos="4320"/>
          <w:tab w:val="clear" w:pos="8640"/>
        </w:tabs>
        <w:jc w:val="center"/>
        <w:rPr>
          <w:b/>
          <w:smallCaps/>
          <w:del w:id="101" w:author="gnemec" w:date="1999-08-25T21:12:00Z"/>
        </w:rPr>
      </w:pPr>
      <w:del w:id="100" w:author="gnemec" w:date="1999-08-25T21:12:00Z">
        <w:r>
          <w:rPr>
            <w:b/>
            <w:smallCaps/>
          </w:rPr>
          <w:delText>TO THE</w:delText>
        </w:r>
      </w:del>
    </w:p>
    <w:p>
      <w:pPr>
        <w:pStyle w:val="Footer"/>
        <w:tabs>
          <w:tab w:val="clear" w:pos="4320"/>
          <w:tab w:val="clear" w:pos="8640"/>
        </w:tabs>
        <w:jc w:val="center"/>
        <w:rPr>
          <w:b/>
          <w:smallCaps/>
          <w:del w:id="103" w:author="gnemec" w:date="1999-08-25T21:12:00Z"/>
        </w:rPr>
      </w:pPr>
      <w:del w:id="102" w:author="gnemec" w:date="1999-08-25T21:12:00Z">
        <w:r>
          <w:rPr>
            <w:b/>
            <w:smallCaps/>
          </w:rPr>
          <w:delText>GATHERING SERVICES AGREEMENT</w:delText>
        </w:r>
      </w:del>
    </w:p>
    <w:p>
      <w:pPr>
        <w:pStyle w:val="Footer"/>
        <w:tabs>
          <w:tab w:val="clear" w:pos="4320"/>
          <w:tab w:val="clear" w:pos="8640"/>
        </w:tabs>
        <w:jc w:val="center"/>
        <w:rPr>
          <w:b/>
          <w:smallCaps/>
          <w:del w:id="105" w:author="gnemec" w:date="1999-08-25T21:12:00Z"/>
        </w:rPr>
      </w:pPr>
      <w:del w:id="104" w:author="gnemec" w:date="1999-08-25T21:12:00Z">
        <w:r>
          <w:rPr>
            <w:b/>
            <w:smallCaps/>
          </w:rPr>
        </w:r>
      </w:del>
    </w:p>
    <w:p>
      <w:pPr>
        <w:pStyle w:val="Normal"/>
        <w:spacing w:before="120" w:after="0"/>
        <w:jc w:val="center"/>
        <w:rPr>
          <w:b/>
          <w:del w:id="107" w:author="gnemec" w:date="1999-08-25T21:12:00Z"/>
        </w:rPr>
      </w:pPr>
      <w:del w:id="106" w:author="gnemec" w:date="1999-08-25T21:12:00Z">
        <w:r>
          <w:rPr>
            <w:b/>
          </w:rPr>
          <w:delText>FORM OF SECURITY AGREEMENT</w:delText>
        </w:r>
      </w:del>
    </w:p>
    <w:p>
      <w:pPr>
        <w:pStyle w:val="Footer"/>
        <w:spacing w:before="120" w:after="0"/>
        <w:jc w:val="center"/>
        <w:rPr>
          <w:b/>
        </w:rPr>
      </w:pPr>
      <w:r>
        <w:rPr>
          <w:b/>
        </w:rPr>
      </w:r>
    </w:p>
    <w:p>
      <w:pPr>
        <w:pStyle w:val="BodyText"/>
        <w:spacing w:before="0" w:after="240"/>
        <w:rPr>
          <w:b/>
        </w:rPr>
      </w:pPr>
      <w:r>
        <w:rPr>
          <w:b/>
        </w:rPr>
      </w:r>
    </w:p>
    <w:sectPr>
      <w:headerReference w:type="default" r:id="rId42"/>
      <w:headerReference w:type="first" r:id="rId43"/>
      <w:footerReference w:type="default" r:id="rId44"/>
      <w:footerReference w:type="first" r:id="rId45"/>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83" w:author="gnemec" w:date="1999-08-25T21:12:00Z"/>
      </w:rPr>
    </w:pPr>
    <w:del w:id="82" w:author="gnemec" w:date="1999-08-25T21:12:00Z">
      <w:r>
        <w:rPr/>
      </w:r>
    </w:del>
  </w:p>
  <w:p>
    <w:pPr>
      <w:pStyle w:val="Footer"/>
      <w:spacing w:before="240" w:after="0"/>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96" w:author="gnemec" w:date="1999-08-25T21:12:00Z"/>
      </w:rPr>
    </w:pPr>
    <w:del w:id="95" w:author="gnemec" w:date="1999-08-25T21:12:00Z">
      <w:r>
        <w:rPr/>
      </w:r>
    </w:del>
  </w:p>
  <w:p>
    <w:pPr>
      <w:pStyle w:val="Footer"/>
      <w:spacing w:before="240" w:after="0"/>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109" w:author="gnemec" w:date="1999-08-25T21:12:00Z"/>
      </w:rPr>
    </w:pPr>
    <w:del w:id="108" w:author="gnemec" w:date="1999-08-25T21:12: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p>
  <w:p>
    <w:pPr>
      <w:pStyle w:val="Footer"/>
      <w:spacing w:before="240" w:after="0"/>
      <w:rPr>
        <w:sz w:val="16"/>
      </w:rPr>
    </w:pPr>
    <w:del w:id="110" w:author="gnemec" w:date="1999-08-25T21:12:00Z">
      <w:r>
        <w:rPr>
          <w:sz w:val="16"/>
        </w:rPr>
        <w:fldChar w:fldCharType="begin"/>
      </w:r>
      <w:r>
        <w:rPr>
          <w:sz w:val="16"/>
        </w:rPr>
        <w:delInstrText xml:space="preserve"> FILENAME \p </w:delInstrText>
      </w:r>
      <w:r>
        <w:rPr>
          <w:sz w:val="16"/>
        </w:rPr>
        <w:fldChar w:fldCharType="separate"/>
      </w:r>
      <w:r>
        <w:rPr>
          <w:sz w:val="16"/>
        </w:rPr>
        <w:delText>/mnt/main-storage/datasets/enron-docs/doc/gatheringagreement6red.doc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1999-08-25T23:43:00Z</dcterms:created>
  <dc:creator>M_HUGHES</dc:creator>
  <dc:description/>
  <dc:language>en-CA</dc:language>
  <cp:lastModifiedBy>gnemec</cp:lastModifiedBy>
  <cp:lastPrinted>1999-08-25T21:13:00Z</cp:lastPrinted>
  <dcterms:modified xsi:type="dcterms:W3CDTF">1999-08-25T23:51:00Z</dcterms:modified>
  <cp:revision>3</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