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the Owner's quantity of gas as measured at the Receipt Point(s) multiplied by the amount per Mcf specifically set forth in </w:t>
      </w:r>
      <w:r>
        <w:rPr>
          <w:u w:val="single"/>
        </w:rPr>
        <w:t>Exhibit E</w:t>
      </w:r>
      <w:r>
        <w:rPr/>
        <w:t xml:space="preserve"> for the various gathering areas in which the Gathering Services are to be performed.</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ind w:hanging="0" w:end="0"/>
        <w:rPr/>
      </w:pPr>
      <w:r>
        <w:rPr/>
        <w:t xml:space="preserve">Owner shall deliver Gas at the Receipt Point(s) at pressures of eight hundred (800) psig or greater, not to exceed the maximum allowable operating pressure of Gatherer's gathering facilities. </w:t>
      </w:r>
    </w:p>
    <w:p>
      <w:pPr>
        <w:pStyle w:val="BodyText"/>
        <w:ind w:hanging="0" w:end="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Facilities Development Plan</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Normal"/>
        <w:spacing w:before="120" w:after="0"/>
        <w:jc w:val="both"/>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r>
    </w:p>
    <w:p>
      <w:pPr>
        <w:pStyle w:val="Normal"/>
        <w:spacing w:before="120" w:after="0"/>
        <w:jc w:val="both"/>
        <w:rPr>
          <w:b/>
        </w:rPr>
      </w:pPr>
      <w:r>
        <w:rPr>
          <w:b/>
        </w:rPr>
        <w:t>[Plat of Reserve Commitment Area broken down into gathering areas and specifically stating the gathering fees for each gathering area]</w:t>
      </w:r>
    </w:p>
    <w:p>
      <w:pPr>
        <w:pStyle w:val="Normal"/>
        <w:spacing w:before="120" w:after="0"/>
        <w:jc w:val="both"/>
        <w:rPr>
          <w:b/>
        </w:rPr>
      </w:pPr>
      <w:r>
        <w:rPr>
          <w:b/>
        </w:rPr>
      </w:r>
    </w:p>
    <w:p>
      <w:pPr>
        <w:pStyle w:val="Normal"/>
        <w:spacing w:before="120" w:after="0"/>
        <w:jc w:val="both"/>
        <w:rPr/>
      </w:pPr>
      <w:r>
        <w:rPr/>
      </w:r>
    </w:p>
    <w:p>
      <w:pPr>
        <w:pStyle w:val="Normal"/>
        <w:spacing w:before="120" w:after="0"/>
        <w:rPr>
          <w:b/>
        </w:rPr>
      </w:pPr>
      <w:r>
        <w:rPr>
          <w:b/>
        </w:rPr>
        <w:t>[For Caballeros Area of the Reserve Commitment Area only, the following shall be applicable to the Gathering Fee calculation:</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rPr>
          <w:b/>
        </w:rPr>
      </w:pPr>
      <w:r>
        <w:rPr>
          <w:b/>
        </w:rPr>
        <w:t>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w:t>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Gas tendered by Owner and accepted by Gatherer under this Agreement for any Month at a given Receipt Point equals less than 300 MMBtu per Day times the number of Days in the Month, then Gatherer may, at its election, charge Owner a metering fee ("</w:t>
      </w:r>
      <w:r>
        <w:rPr>
          <w:u w:val="single"/>
        </w:rPr>
        <w:t>Metering Fee</w:t>
      </w:r>
      <w:r>
        <w:rPr/>
        <w:t>") of $350 for such Month with respect to each such Receipt Point.</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BodyText"/>
        <w:spacing w:before="0" w:after="240"/>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/mnt/main-storage/datasets/enron-docs/doc/gatheringagreement4.doc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11,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1999-08-11T20:37:00Z</dcterms:created>
  <dc:creator>M_HUGHES</dc:creator>
  <dc:description/>
  <dc:language>en-CA</dc:language>
  <cp:lastModifiedBy>gnemec</cp:lastModifiedBy>
  <cp:lastPrinted>1999-06-25T19:29:00Z</cp:lastPrinted>
  <dcterms:modified xsi:type="dcterms:W3CDTF">1999-08-11T20:45:00Z</dcterms:modified>
  <cp:revision>6</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