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footer9.xml" ContentType="application/vnd.openxmlformats-officedocument.wordprocessingml.footer+xml"/>
  <Override PartName="/word/theme/theme1.xml" ContentType="application/vnd.openxmlformats-officedocument.theme+xml"/>
  <Override PartName="/word/header1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17.xml" ContentType="application/vnd.openxmlformats-officedocument.wordprocessingml.footer+xml"/>
  <Override PartName="/word/header10.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header1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mallCaps/>
        </w:rPr>
      </w:pPr>
      <w:r>
        <w:rPr>
          <w:b/>
          <w:smallCaps/>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MTG OPERATINGCOMPANY</w:t>
      </w:r>
    </w:p>
    <w:p>
      <w:pPr>
        <w:sectPr>
          <w:headerReference w:type="default" r:id="rId2"/>
          <w:headerReference w:type="first" r:id="rId3"/>
          <w:footerReference w:type="default" r:id="rId4"/>
          <w:footerReference w:type="first" r:id="rId5"/>
          <w:type w:val="nextPage"/>
          <w:pgSz w:w="12240" w:h="15840"/>
          <w:pgMar w:left="1440" w:right="1440" w:gutter="0" w:header="965"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is entered into and made this _</w:t>
      </w:r>
      <w:r>
        <w:rPr>
          <w:u w:val="single"/>
        </w:rPr>
        <w:tab/>
      </w:r>
      <w:r>
        <w:rPr/>
        <w:t xml:space="preserve"> Day of </w:t>
      </w:r>
      <w:r>
        <w:rPr>
          <w:u w:val="single"/>
        </w:rPr>
        <w:tab/>
        <w:tab/>
        <w:tab/>
      </w:r>
      <w:r>
        <w:rPr/>
        <w:t>, 19</w:t>
      </w:r>
      <w:r>
        <w:rPr>
          <w:u w:val="single"/>
        </w:rPr>
        <w:tab/>
      </w:r>
      <w:r>
        <w:rPr/>
        <w:t xml:space="preserve">, by and between MTG Operating Company, a </w:t>
      </w:r>
      <w:r>
        <w:rPr>
          <w:u w:val="single"/>
        </w:rPr>
        <w:tab/>
        <w:tab/>
      </w:r>
      <w:r>
        <w:rPr/>
        <w:t xml:space="preserve"> </w:t>
      </w:r>
      <w:r>
        <w:rPr>
          <w:u w:val="single"/>
        </w:rPr>
        <w:tab/>
        <w:tab/>
      </w:r>
      <w:r>
        <w:rPr/>
        <w:t>, ("</w:t>
      </w:r>
      <w:r>
        <w:rPr>
          <w:u w:val="single"/>
        </w:rPr>
        <w:t>Owner</w:t>
      </w:r>
      <w:r>
        <w:rPr/>
        <w:t>"), and Enron Midstream Services, L.L.C., a Delaware limited liability company, ("</w:t>
      </w:r>
      <w:r>
        <w:rPr>
          <w:u w:val="single"/>
        </w:rPr>
        <w:t>Gatherer</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Normal"/>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 Owner, at its sole expense, shall install, provide, own, and maintain in good operating condition and repair (including, without limitation, ordinary upkeep, and replacement and repairs whether ordinary or extraordinary in nature, and including damage by casualty) a connecting pipeline necessary to connect the Owner's well(s) to the Receipt Point.</w:t>
      </w:r>
    </w:p>
    <w:p>
      <w:pPr>
        <w:pStyle w:val="Heading2"/>
        <w:numPr>
          <w:ilvl w:val="1"/>
          <w:numId w:val="2"/>
        </w:numPr>
        <w:rPr/>
      </w:pPr>
      <w:r>
        <w:rPr>
          <w:b/>
          <w:u w:val="single"/>
        </w:rPr>
        <w:t>Delivery Points</w:t>
      </w:r>
      <w:r>
        <w:rPr>
          <w:b/>
        </w:rPr>
        <w:t>.</w:t>
      </w:r>
      <w:r>
        <w:rPr/>
        <w:t xml:space="preserve">  The points at which Gatherer shall redeliver gas to Owner ("</w:t>
      </w:r>
      <w:r>
        <w:rPr>
          <w:u w:val="single"/>
        </w:rPr>
        <w:t>Delivery Points</w:t>
      </w:r>
      <w:r>
        <w:rPr/>
        <w:t xml:space="preserve">")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2"/>
        <w:numPr>
          <w:ilvl w:val="0"/>
          <w:numId w:val="0"/>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unless otherwise terminated in accordance with the terms of this Agreement or the Gas Purchase Agreement and shall remain in effect for a period of ten (10) Years from the WIC In-Service Date (the "</w:t>
      </w:r>
      <w:r>
        <w:rPr>
          <w:u w:val="single"/>
        </w:rPr>
        <w:t>Primary Term</w:t>
      </w:r>
      <w:r>
        <w:rPr/>
        <w:t>"), and thereafter continue in effect from Year to Year, unless terminated by either Party upon written notice to the other Party given thirty (30) Days prior to the end of the Primary Term or any Year thereafter. All indemnity, confidentiality obligations, and audit rights shall survive the termination or expiration hereof.  During the term of the Gas Purchase Agreement, this Agreement shall be effective only as specified in the Gas Purchase Agreement.  Upon termination of the Gas Purchase Agreement this Agreement shall remain in effect and be controlling.</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xml:space="preserve">") for Gathering Services, shall be amount per Mcf for Owner's quantity of gas as measured at the Receipt Point(s) as more specifically set forth in </w:t>
      </w:r>
      <w:r>
        <w:rPr>
          <w:u w:val="single"/>
        </w:rPr>
        <w:t>Exhibit E</w:t>
      </w:r>
      <w:r>
        <w:rPr/>
        <w:t xml:space="preserve"> for the various areas in which the Gathering Services are to be performed.  If the total volume of gas purchased by Buyer under the Gas Purchase Agreement and gathered by Gatherer hereunder equals forty-five (45) Bcf by December 31, 2002 or sixty (60) Bcf by December 31, 2004, then the Gathering Fee shall be reduced by $0.02 per Mcf for volumes delivered thereafter.   </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tc>
        <w:tc>
          <w:tcPr>
            <w:tcW w:w="3960" w:type="dxa"/>
            <w:tcBorders/>
          </w:tcPr>
          <w:p>
            <w:pPr>
              <w:pStyle w:val="Normal"/>
              <w:keepNext w:val="true"/>
              <w:spacing w:before="240" w:after="0"/>
              <w:rPr>
                <w:b/>
                <w:smallCaps/>
              </w:rPr>
            </w:pPr>
            <w:r>
              <w:rPr>
                <w:b/>
                <w:smallCaps/>
              </w:rPr>
              <w:t>Owner:</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1200 17th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spacing w:before="120" w:after="0"/>
              <w:ind w:start="252" w:end="0"/>
              <w:rPr/>
            </w:pPr>
            <w:r>
              <w:rPr/>
              <w:t>Acct # 4140327387</w:t>
            </w:r>
          </w:p>
          <w:p>
            <w:pPr>
              <w:pStyle w:val="Normal"/>
              <w:keepNext w:val="true"/>
              <w:rPr/>
            </w:pPr>
            <w:r>
              <w:rPr/>
            </w:r>
          </w:p>
          <w:p>
            <w:pPr>
              <w:pStyle w:val="Normal"/>
              <w:keepNext w:val="true"/>
              <w:ind w:start="518" w:end="0"/>
              <w:rPr/>
            </w:pPr>
            <w:r>
              <w:rPr/>
            </w:r>
          </w:p>
        </w:tc>
        <w:tc>
          <w:tcPr>
            <w:tcW w:w="3960" w:type="dxa"/>
            <w:tcBorders/>
          </w:tcPr>
          <w:p>
            <w:pPr>
              <w:pStyle w:val="Normal"/>
              <w:keepNext w:val="true"/>
              <w:spacing w:before="120" w:after="0"/>
              <w:ind w:start="252" w:end="0"/>
              <w:rPr/>
            </w:pPr>
            <w:r>
              <w:rPr>
                <w:b/>
              </w:rPr>
              <w:t>Notices</w:t>
            </w:r>
            <w:r>
              <w:rPr/>
              <w:t>:</w:t>
            </w:r>
          </w:p>
        </w:tc>
      </w:tr>
      <w:tr>
        <w:trPr/>
        <w:tc>
          <w:tcPr>
            <w:tcW w:w="3960" w:type="dxa"/>
            <w:tcBorders/>
          </w:tcPr>
          <w:p>
            <w:pPr>
              <w:pStyle w:val="Normal"/>
              <w:keepNext w:val="true"/>
              <w:spacing w:before="120" w:after="0"/>
              <w:ind w:start="252" w:end="0"/>
              <w:rPr/>
            </w:pPr>
            <w:r>
              <w:rPr>
                <w:b/>
              </w:rPr>
              <w:t>Invoices</w:t>
            </w:r>
            <w:r>
              <w:rPr/>
              <w:t>:</w:t>
            </w:r>
          </w:p>
          <w:p>
            <w:pPr>
              <w:pStyle w:val="Normal"/>
              <w:keepNext w:val="true"/>
              <w:rPr/>
            </w:pPr>
            <w:r>
              <w:rPr/>
            </w:r>
          </w:p>
          <w:p>
            <w:pPr>
              <w:pStyle w:val="Normal"/>
              <w:keepNext w:val="true"/>
              <w:rPr/>
            </w:pPr>
            <w:r>
              <w:rPr/>
            </w:r>
          </w:p>
        </w:tc>
        <w:tc>
          <w:tcPr>
            <w:tcW w:w="3960" w:type="dxa"/>
            <w:tcBorders/>
          </w:tcPr>
          <w:p>
            <w:pPr>
              <w:pStyle w:val="Normal"/>
              <w:keepNext w:val="true"/>
              <w:spacing w:before="120" w:after="0"/>
              <w:ind w:start="252" w:end="0"/>
              <w:rPr/>
            </w:pPr>
            <w:r>
              <w:rPr>
                <w:b/>
              </w:rPr>
              <w:t>Invoices</w:t>
            </w:r>
            <w:r>
              <w:rPr/>
              <w:t>:</w:t>
            </w:r>
          </w:p>
          <w:p>
            <w:pPr>
              <w:pStyle w:val="Normal"/>
              <w:keepNext w:val="true"/>
              <w:spacing w:before="120" w:after="0"/>
              <w:ind w:start="252" w:end="0"/>
              <w:rPr/>
            </w:pPr>
            <w:r>
              <w:rPr/>
            </w:r>
          </w:p>
          <w:p>
            <w:pPr>
              <w:pStyle w:val="Normal"/>
              <w:keepNext w:val="tru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rPr>
          <w:smallCaps/>
        </w:rPr>
      </w:pPr>
      <w:r>
        <w:rPr>
          <w:smallCaps/>
        </w:rPr>
        <w:t>ENRON MIDSTREAM SERVICES, L.L.C.</w:t>
        <w:tab/>
        <w:t>MTG OPERATING</w:t>
      </w:r>
    </w:p>
    <w:p>
      <w:pPr>
        <w:pStyle w:val="Normal"/>
        <w:rPr>
          <w:smallCaps/>
        </w:rPr>
      </w:pPr>
      <w:r>
        <w:rPr>
          <w:smallCaps/>
        </w:rPr>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headerReference w:type="default" r:id="rId6"/>
          <w:headerReference w:type="first" r:id="rId7"/>
          <w:footerReference w:type="default" r:id="rId8"/>
          <w:footerReference w:type="first" r:id="rId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Thermally Equivalent Quantities</w:t>
      </w:r>
      <w:r>
        <w:rPr/>
        <w:t>" shall mean the volume of gas delivered hereunder for Owner's account to the Delivery Point(s) which shall equal the thermal equivalent in MMBtu of the volume of gas received by Gatherer at the Receipt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BodyText"/>
        <w:spacing w:before="0" w:after="0"/>
        <w:ind w:hanging="0" w:end="0"/>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Committed Reserves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60,000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spacing w:before="0" w:after="0"/>
        <w:ind w:hanging="0" w:end="0"/>
        <w:rPr/>
      </w:pPr>
      <w:r>
        <w:rPr/>
        <w:t>"</w:t>
      </w:r>
      <w:r>
        <w:rPr>
          <w:b/>
          <w:u w:val="single"/>
        </w:rPr>
        <w:t>Psia</w:t>
      </w:r>
      <w:r>
        <w:rPr/>
        <w:t>" shall mean pounds per square inch, absolute.</w:t>
      </w:r>
    </w:p>
    <w:p>
      <w:pPr>
        <w:pStyle w:val="BodyText"/>
        <w:spacing w:before="0" w:after="0"/>
        <w:ind w:hanging="0" w:end="0"/>
        <w:rPr/>
      </w:pPr>
      <w:r>
        <w:rPr/>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hanging="0" w:start="0"/>
        <w:jc w:val="both"/>
        <w:rPr/>
      </w:pPr>
      <w:r>
        <w:rPr/>
        <w:t xml:space="preserve">          </w:t>
      </w: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BodyText"/>
        <w:ind w:hanging="0" w:end="0"/>
        <w:rPr/>
      </w:pPr>
      <w:r>
        <w:rPr/>
        <w:t xml:space="preserve">Owner shall deliver Gas at the Receipt Point(s) at pressures of eight hundred (800) psig or greater, not to exceed the maximum allowable operating pressure of Gatherer's gathering facilities. </w:t>
      </w:r>
    </w:p>
    <w:p>
      <w:pPr>
        <w:pStyle w:val="BodyText"/>
        <w:ind w:hanging="0" w:end="0"/>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rPr/>
      </w:pPr>
      <w:r>
        <w:rPr/>
        <w:tab/>
        <w:t xml:space="preserve">(b) Be commercially free of all dust, non-vaporous hydrocarbon liquids,     </w:t>
      </w:r>
    </w:p>
    <w:p>
      <w:pPr>
        <w:pStyle w:val="Normal"/>
        <w:ind w:start="1080" w:end="0"/>
        <w:rPr/>
      </w:pPr>
      <w:r>
        <w:rPr/>
        <w:t>non-vaporous water, suspended matter, all gums and gum forming constituents and any other objectionable substances;</w:t>
      </w:r>
    </w:p>
    <w:p>
      <w:pPr>
        <w:pStyle w:val="Normal"/>
        <w:ind w:start="1080" w:end="0"/>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 (CO2);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w:t>
      </w:r>
    </w:p>
    <w:p>
      <w:pPr>
        <w:pStyle w:val="Normal"/>
        <w:jc w:val="both"/>
        <w:rPr/>
      </w:pPr>
      <w:r>
        <w:rPr/>
      </w:r>
    </w:p>
    <w:p>
      <w:pPr>
        <w:pStyle w:val="Normal"/>
        <w:jc w:val="both"/>
        <w:rPr/>
      </w:pPr>
      <w:r>
        <w:rPr/>
        <w:tab/>
        <w:t xml:space="preserve">(h) Not contain more than five (5) pounds of entrained water vapor per </w:t>
      </w:r>
    </w:p>
    <w:p>
      <w:pPr>
        <w:pStyle w:val="Normal"/>
        <w:ind w:firstLine="1080" w:end="0"/>
        <w:jc w:val="both"/>
        <w:rPr/>
      </w:pPr>
      <w:r>
        <w:rPr/>
        <w:t xml:space="preserve">million cubic feet and no free water; and </w:t>
      </w:r>
    </w:p>
    <w:p>
      <w:pPr>
        <w:pStyle w:val="Normal"/>
        <w:jc w:val="both"/>
        <w:rPr/>
      </w:pPr>
      <w:r>
        <w:rPr/>
      </w:r>
    </w:p>
    <w:p>
      <w:pPr>
        <w:pStyle w:val="Normal"/>
        <w:ind w:hanging="360" w:start="1080" w:end="0"/>
        <w:jc w:val="both"/>
        <w:rPr/>
      </w:pPr>
      <w:r>
        <w:rPr/>
        <w:t>(i)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pipelines, or compressors,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at the Receipt Point(s) and the Thermally Equivalent Quantity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BodyText"/>
        <w:rPr/>
      </w:pPr>
      <w:r>
        <w:rPr/>
        <w:t xml:space="preserve">Owner shall not assign or transfer its rights hereunder or in Owner's Reserves without first obtaining Gatherer's written consent to such assignment or transfer.  Owner's transfer in violation hereof shall be void. </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headerReference w:type="default" r:id="rId10"/>
          <w:headerReference w:type="first" r:id="rId11"/>
          <w:footerReference w:type="default" r:id="rId12"/>
          <w:footerReference w:type="first" r:id="rId1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headerReference w:type="default" r:id="rId14"/>
          <w:headerReference w:type="first" r:id="rId15"/>
          <w:footerReference w:type="default" r:id="rId16"/>
          <w:footerReference w:type="first" r:id="rId17"/>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sectPr>
          <w:headerReference w:type="default" r:id="rId18"/>
          <w:headerReference w:type="first" r:id="rId19"/>
          <w:footerReference w:type="default" r:id="rId20"/>
          <w:footerReference w:type="first" r:id="rId21"/>
          <w:type w:val="nextPage"/>
          <w:pgSz w:w="12240" w:h="15840"/>
          <w:pgMar w:left="1440" w:right="1440" w:gutter="0" w:header="965"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Facilities Development Plan</w:t>
      </w:r>
    </w:p>
    <w:p>
      <w:pPr>
        <w:pStyle w:val="Normal"/>
        <w:spacing w:before="120" w:after="0"/>
        <w:ind w:firstLine="720" w:end="0"/>
        <w:jc w:val="both"/>
        <w:rPr>
          <w:b/>
          <w:smallCaps/>
        </w:rPr>
      </w:pPr>
      <w:r>
        <w:rPr>
          <w:b/>
          <w:smallCaps/>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jc w:val="center"/>
        <w:rPr>
          <w:u w:val="single"/>
        </w:rPr>
      </w:pPr>
      <w:r>
        <w:rPr>
          <w:u w:val="single"/>
        </w:rPr>
      </w:r>
    </w:p>
    <w:p>
      <w:pPr>
        <w:sectPr>
          <w:headerReference w:type="default" r:id="rId22"/>
          <w:headerReference w:type="first" r:id="rId23"/>
          <w:footerReference w:type="default" r:id="rId24"/>
          <w:footerReference w:type="first" r:id="rId25"/>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Delivery Point(s)</w:t>
      </w:r>
    </w:p>
    <w:p>
      <w:pPr>
        <w:pStyle w:val="MimicLev1"/>
        <w:spacing w:before="120" w:after="0"/>
        <w:rPr>
          <w:caps w:val="false"/>
          <w:smallCaps w:val="false"/>
        </w:rPr>
      </w:pPr>
      <w:r>
        <w:rPr>
          <w:caps w:val="false"/>
          <w:smallCaps w:val="false"/>
        </w:rPr>
        <w:t>Maximum Delivery Point Quantity</w:t>
      </w:r>
    </w:p>
    <w:p>
      <w:pPr>
        <w:pStyle w:val="Normal"/>
        <w:spacing w:before="120" w:after="0"/>
        <w:jc w:val="both"/>
        <w:rPr>
          <w:smallCaps/>
        </w:rPr>
      </w:pPr>
      <w:r>
        <w:rPr>
          <w:smallCaps/>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ind w:firstLine="720" w:end="0"/>
        <w:rPr/>
      </w:pPr>
      <w:r>
        <w:rPr/>
        <w:t>(Maximum Volume - __________ MCF)</w:t>
      </w:r>
    </w:p>
    <w:p>
      <w:pPr>
        <w:pStyle w:val="Normal"/>
        <w:spacing w:before="120" w:after="0"/>
        <w:rPr/>
      </w:pPr>
      <w:r>
        <w:rPr/>
        <w:t>2.</w:t>
        <w:tab/>
        <w:t>Colorado Interstate Gas Company- North Platte River Station</w:t>
      </w:r>
    </w:p>
    <w:p>
      <w:pPr>
        <w:pStyle w:val="Normal"/>
        <w:spacing w:before="120" w:after="0"/>
        <w:ind w:firstLine="720" w:end="0"/>
        <w:rPr/>
      </w:pPr>
      <w:r>
        <w:rPr/>
        <w:t>(Maximum Volume - __________ MCF)</w:t>
      </w:r>
    </w:p>
    <w:p>
      <w:pPr>
        <w:pStyle w:val="Normal"/>
        <w:spacing w:before="120" w:after="0"/>
        <w:rPr/>
      </w:pPr>
      <w:r>
        <w:rPr/>
        <w:t>3.</w:t>
        <w:tab/>
        <w:t>KN Energy, Inc. - KNI Interconnect Station</w:t>
      </w:r>
    </w:p>
    <w:p>
      <w:pPr>
        <w:sectPr>
          <w:headerReference w:type="default" r:id="rId26"/>
          <w:headerReference w:type="first" r:id="rId27"/>
          <w:footerReference w:type="default" r:id="rId28"/>
          <w:footerReference w:type="first" r:id="rId29"/>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ind w:firstLine="720" w:end="0"/>
        <w:rPr/>
      </w:pPr>
      <w:r>
        <w:rPr/>
        <w:t>(Maximum Volume - __________ MCF)</w:t>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sectPr>
          <w:headerReference w:type="default" r:id="rId30"/>
          <w:headerReference w:type="first" r:id="rId31"/>
          <w:footerReference w:type="default" r:id="rId32"/>
          <w:footerReference w:type="first" r:id="rId33"/>
          <w:type w:val="nextPage"/>
          <w:pgSz w:w="12240" w:h="15840"/>
          <w:pgMar w:left="1440" w:right="1440" w:gutter="0" w:header="965" w:top="1440" w:footer="965" w:bottom="1440"/>
          <w:pgNumType w:start="1" w:fmt="decimal"/>
          <w:formProt w:val="false"/>
          <w:titlePg/>
          <w:textDirection w:val="lrTb"/>
          <w:docGrid w:type="default" w:linePitch="360" w:charSpace="0"/>
        </w:sectPr>
        <w:pStyle w:val="Normal"/>
        <w:spacing w:before="120" w:after="0"/>
        <w:jc w:val="center"/>
        <w:rPr>
          <w:rFonts w:ascii="Times New Roman Bold;Times New Roman" w:hAnsi="Times New Roman Bold;Times New Roman" w:cs="Times New Roman Bold;Times New Roman"/>
          <w:b/>
          <w:smallCaps/>
        </w:rPr>
      </w:pPr>
      <w:r>
        <w:rPr>
          <w:rFonts w:cs="Times New Roman Bold;Times New Roman" w:ascii="Times New Roman Bold;Times New Roman" w:hAnsi="Times New Roman Bold;Times New Roman"/>
          <w:b/>
          <w:smallCaps/>
        </w:rPr>
        <w:t>Gathering Fee Schedule</w:t>
      </w:r>
    </w:p>
    <w:p>
      <w:pPr>
        <w:pStyle w:val="Footer"/>
        <w:tabs>
          <w:tab w:val="clear" w:pos="4320"/>
          <w:tab w:val="clear" w:pos="8640"/>
        </w:tabs>
        <w:jc w:val="center"/>
        <w:rPr>
          <w:b/>
          <w:smallCaps/>
        </w:rPr>
      </w:pPr>
      <w:r>
        <w:rPr>
          <w:b/>
          <w:smallCaps/>
        </w:rPr>
        <w:t>EXHIBIT F</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Normal"/>
        <w:spacing w:before="120" w:after="0"/>
        <w:jc w:val="center"/>
        <w:rPr>
          <w:b/>
        </w:rPr>
      </w:pPr>
      <w:r>
        <w:rPr>
          <w:b/>
        </w:rPr>
        <w:t>Measurement, Testing and Metering</w:t>
      </w:r>
    </w:p>
    <w:p>
      <w:pPr>
        <w:pStyle w:val="Normal"/>
        <w:spacing w:before="120" w:after="0"/>
        <w:rPr>
          <w:b/>
        </w:rPr>
      </w:pPr>
      <w:r>
        <w:rPr>
          <w:b/>
        </w:rPr>
      </w:r>
    </w:p>
    <w:p>
      <w:pPr>
        <w:pStyle w:val="Normal"/>
        <w:keepNext w:val="true"/>
        <w:spacing w:before="0" w:after="120"/>
        <w:jc w:val="both"/>
        <w:rPr/>
      </w:pPr>
      <w:r>
        <w:rPr/>
        <w:t>Except as otherwise agreed by Gatherer, the metering facilities to measure the volumes of Gas delivered at each Receipt Point and Delivery Point shall be maintained and operated or caused to be maintained and operated by Gatherer.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the pressure value determined by Gatherer for the county in which such point is located pursuant to generally accepted industry practices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F.) at an absolute pressure of fourteen and sixty-five one-hundredths (14.65)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Gas tendered by Owner and accepted by Gatherer under this Agreement for any Month at a given Receipt Point equals less than 300 MMBtu per Day times the number of Days in the Month, then Gatherer may, at its election, charge Owner a metering fee ("</w:t>
      </w:r>
      <w:r>
        <w:rPr>
          <w:u w:val="single"/>
        </w:rPr>
        <w:t>Metering Fee</w:t>
      </w:r>
      <w:r>
        <w:rPr/>
        <w:t>") of $350 for such Month with respect to each such Receipt Point.</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 xml:space="preserve">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w:t>
      </w:r>
      <w:r>
        <w:rPr>
          <w:b/>
        </w:rPr>
        <w:t>one percent (1%)</w:t>
      </w:r>
      <w:r>
        <w:rPr/>
        <w:t xml:space="preserve"> fast or slow in volume, then they shall be deemed to be correct.  All measuring devices shall be adjusted upon test to register accurately within the tolerance allowed by their respective manufacturers.  If the aggregate error in any measurement devices is more than </w:t>
      </w:r>
      <w:r>
        <w:rPr>
          <w:b/>
        </w:rPr>
        <w:t>one percent (1%)</w:t>
      </w:r>
      <w:r>
        <w:rPr/>
        <w:t xml:space="preserve">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w:t>
      </w:r>
      <w:r>
        <w:rPr>
          <w:b/>
        </w:rPr>
        <w:t>one percent (1%)</w:t>
      </w:r>
      <w:r>
        <w:rPr/>
        <w:t xml:space="preserve">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 xml:space="preserve">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w:t>
      </w:r>
      <w:r>
        <w:rPr>
          <w:b/>
        </w:rPr>
        <w:t>one percent (1%).</w:t>
      </w:r>
    </w:p>
    <w:p>
      <w:pPr>
        <w:pStyle w:val="FootnoteText"/>
        <w:rPr/>
      </w:pPr>
      <w:r>
        <w:rPr/>
      </w:r>
    </w:p>
    <w:p>
      <w:pPr>
        <w:pStyle w:val="BodyText"/>
        <w:spacing w:before="0" w:after="240"/>
        <w:rPr/>
      </w:pPr>
      <w:r>
        <w:rPr/>
      </w:r>
    </w:p>
    <w:sectPr>
      <w:headerReference w:type="default" r:id="rId34"/>
      <w:headerReference w:type="first" r:id="rId35"/>
      <w:footerReference w:type="default" r:id="rId36"/>
      <w:footerReference w:type="first" r:id="rId37"/>
      <w:type w:val="nextPage"/>
      <w:pgSz w:w="12240" w:h="15840"/>
      <w:pgMar w:left="1440" w:right="1440" w:gutter="0" w:header="965"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6"/>
      </w:rPr>
    </w:pPr>
    <w:r>
      <w:rPr>
        <w:sz w:val="16"/>
      </w:rPr>
      <w:fldChar w:fldCharType="begin"/>
    </w:r>
    <w:r>
      <w:rPr>
        <w:sz w:val="16"/>
      </w:rPr>
      <w:instrText xml:space="preserve"> FILENAME \p </w:instrText>
    </w:r>
    <w:r>
      <w:rPr>
        <w:sz w:val="16"/>
      </w:rPr>
      <w:fldChar w:fldCharType="separate"/>
    </w:r>
    <w:r>
      <w:rPr>
        <w:sz w:val="16"/>
      </w:rPr>
      <w:t>/mnt/main-storage/datasets/enron-docs/doc/gatheringagreement3.doc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 August 9, 1999</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numbering" Target="numbering.xml"/><Relationship Id="rId39" Type="http://schemas.openxmlformats.org/officeDocument/2006/relationships/fontTable" Target="fontTable.xml"/><Relationship Id="rId40" Type="http://schemas.openxmlformats.org/officeDocument/2006/relationships/settings" Target="settings.xml"/><Relationship Id="rId4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1999-08-09T20:44:00Z</dcterms:created>
  <dc:creator>M_HUGHES</dc:creator>
  <dc:description/>
  <dc:language>en-CA</dc:language>
  <cp:lastModifiedBy>gnemec</cp:lastModifiedBy>
  <cp:lastPrinted>1999-06-25T19:29:00Z</cp:lastPrinted>
  <dcterms:modified xsi:type="dcterms:W3CDTF">1999-08-10T14:15:00Z</dcterms:modified>
  <cp:revision>20</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