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rPr>
      </w:pPr>
      <w:r>
        <w:rPr>
          <w:rFonts w:cs="Arial" w:ascii="Arial" w:hAnsi="Arial"/>
          <w:b/>
        </w:rPr>
        <w:t>TRANSACTION AGREEMENT</w:t>
      </w:r>
    </w:p>
    <w:p>
      <w:pPr>
        <w:pStyle w:val="Normal"/>
        <w:jc w:val="both"/>
        <w:rPr>
          <w:rFonts w:ascii="Arial" w:hAnsi="Arial" w:cs="Arial"/>
          <w:b/>
        </w:rPr>
      </w:pPr>
      <w:r>
        <w:rPr>
          <w:rFonts w:cs="Arial" w:ascii="Arial" w:hAnsi="Arial"/>
          <w:b/>
        </w:rPr>
      </w:r>
    </w:p>
    <w:p>
      <w:pPr>
        <w:pStyle w:val="Normal"/>
        <w:jc w:val="both"/>
        <w:rPr/>
      </w:pPr>
      <w:r>
        <w:rPr>
          <w:rFonts w:cs="Arial" w:ascii="Arial" w:hAnsi="Arial"/>
        </w:rPr>
        <w:t>This Firm Transaction Agreement (this “</w:t>
      </w:r>
      <w:r>
        <w:rPr>
          <w:rFonts w:cs="Arial" w:ascii="Arial" w:hAnsi="Arial"/>
          <w:u w:val="single"/>
        </w:rPr>
        <w:t>Agreement</w:t>
      </w:r>
      <w:r>
        <w:rPr>
          <w:rFonts w:cs="Arial" w:ascii="Arial" w:hAnsi="Arial"/>
        </w:rPr>
        <w:t>”) shall confirm and effectuate the proposed agreement between ________("</w:t>
      </w:r>
      <w:r>
        <w:rPr>
          <w:rFonts w:cs="Arial" w:ascii="Arial" w:hAnsi="Arial"/>
          <w:u w:val="single"/>
        </w:rPr>
        <w:t>Customer</w:t>
      </w:r>
      <w:r>
        <w:rPr>
          <w:rFonts w:cs="Arial" w:ascii="Arial" w:hAnsi="Arial"/>
        </w:rPr>
        <w:t>" and “</w:t>
      </w:r>
      <w:r>
        <w:rPr>
          <w:rFonts w:cs="Arial" w:ascii="Arial" w:hAnsi="Arial"/>
          <w:u w:val="single"/>
        </w:rPr>
        <w:t>Buyer</w:t>
      </w:r>
      <w:r>
        <w:rPr>
          <w:rFonts w:cs="Arial" w:ascii="Arial" w:hAnsi="Arial"/>
        </w:rPr>
        <w:t>”) and Enron North America Corp. ("</w:t>
      </w:r>
      <w:r>
        <w:rPr>
          <w:rFonts w:cs="Arial" w:ascii="Arial" w:hAnsi="Arial"/>
          <w:u w:val="single"/>
        </w:rPr>
        <w:t>Company</w:t>
      </w:r>
      <w:r>
        <w:rPr>
          <w:rFonts w:cs="Arial" w:ascii="Arial" w:hAnsi="Arial"/>
        </w:rPr>
        <w:t>" and “</w:t>
      </w:r>
      <w:r>
        <w:rPr>
          <w:rFonts w:cs="Arial" w:ascii="Arial" w:hAnsi="Arial"/>
          <w:u w:val="single"/>
        </w:rPr>
        <w:t>Seller</w:t>
      </w:r>
      <w:r>
        <w:rPr>
          <w:rFonts w:cs="Arial" w:ascii="Arial" w:hAnsi="Arial"/>
        </w:rPr>
        <w:t>”) regarding the firm purchase and sale of Gas on the following terms.</w:t>
      </w:r>
    </w:p>
    <w:p>
      <w:pPr>
        <w:pStyle w:val="Normal"/>
        <w:tabs>
          <w:tab w:val="clear" w:pos="720"/>
          <w:tab w:val="left" w:pos="8640" w:leader="none"/>
        </w:tabs>
        <w:ind w:hanging="5580" w:start="5580" w:end="0"/>
        <w:jc w:val="both"/>
        <w:rPr>
          <w:rFonts w:ascii="Arial" w:hAnsi="Arial" w:cs="Arial"/>
        </w:rPr>
      </w:pPr>
      <w:r>
        <w:rPr>
          <w:rFonts w:cs="Arial" w:ascii="Arial" w:hAnsi="Arial"/>
        </w:rPr>
      </w:r>
    </w:p>
    <w:p>
      <w:pPr>
        <w:pStyle w:val="BodyTextIndent"/>
        <w:rPr/>
      </w:pPr>
      <w:r>
        <w:rPr/>
        <w:t>I.</w:t>
        <w:tab/>
        <w:t>TERM:</w:t>
        <w:tab/>
      </w:r>
      <w:r>
        <w:rPr>
          <w:b w:val="false"/>
        </w:rPr>
        <w:t>February 1, 2001 – April 30, 2001 and month to month thereafter.</w:t>
      </w:r>
    </w:p>
    <w:p>
      <w:pPr>
        <w:pStyle w:val="BodyTextIndent"/>
        <w:rPr>
          <w:b w:val="false"/>
        </w:rPr>
      </w:pPr>
      <w:r>
        <w:rPr>
          <w:b w:val="false"/>
        </w:rPr>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t>II.</w:t>
        <w:tab/>
        <w:t>BUYER’S USAGE:</w:t>
      </w:r>
    </w:p>
    <w:p>
      <w:pPr>
        <w:pStyle w:val="Normal"/>
        <w:tabs>
          <w:tab w:val="left" w:pos="720" w:leader="none"/>
          <w:tab w:val="left" w:pos="8640" w:leader="none"/>
        </w:tabs>
        <w:ind w:hanging="360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pPr>
      <w:r>
        <w:rPr>
          <w:rFonts w:cs="Arial" w:ascii="Arial" w:hAnsi="Arial"/>
          <w:b/>
        </w:rPr>
        <w:t>DELIVERY POINT(S):</w:t>
      </w:r>
      <w:r>
        <w:rPr>
          <w:rFonts w:cs="Arial" w:ascii="Arial" w:hAnsi="Arial"/>
        </w:rPr>
        <w:t xml:space="preserve">  </w:t>
        <w:tab/>
        <w:t>The interconnection between the Southern California Gas Company (“</w:t>
      </w:r>
      <w:r>
        <w:rPr>
          <w:rFonts w:cs="Arial" w:ascii="Arial" w:hAnsi="Arial"/>
          <w:u w:val="single"/>
        </w:rPr>
        <w:t>SoCalGas</w:t>
      </w:r>
      <w:r>
        <w:rPr>
          <w:rFonts w:cs="Arial" w:ascii="Arial" w:hAnsi="Arial"/>
        </w:rPr>
        <w:t>”) system and any of the following pipelines:  El Paso Natural Gas Company (“EPNG”), Transwestern, Pacific Gas &amp; Electric (“PG&amp;E”), Kern River and/or California produced supply or SoCalGas storage.</w:t>
      </w:r>
    </w:p>
    <w:p>
      <w:pPr>
        <w:pStyle w:val="Normal"/>
        <w:tabs>
          <w:tab w:val="clear" w:pos="720"/>
          <w:tab w:val="left" w:pos="8640" w:leader="none"/>
        </w:tabs>
        <w:ind w:hanging="2880" w:start="3600" w:end="0"/>
        <w:jc w:val="both"/>
        <w:rPr>
          <w:rFonts w:ascii="Arial" w:hAnsi="Arial" w:cs="Arial"/>
          <w:b/>
        </w:rPr>
      </w:pPr>
      <w:r>
        <w:rPr>
          <w:rFonts w:cs="Arial" w:ascii="Arial" w:hAnsi="Arial"/>
          <w:b/>
        </w:rPr>
      </w:r>
    </w:p>
    <w:p>
      <w:pPr>
        <w:pStyle w:val="Normal"/>
        <w:tabs>
          <w:tab w:val="clear" w:pos="720"/>
          <w:tab w:val="left" w:pos="8640" w:leader="none"/>
        </w:tabs>
        <w:ind w:hanging="2880" w:start="3600" w:end="0"/>
        <w:jc w:val="both"/>
        <w:rPr>
          <w:rFonts w:ascii="Arial" w:hAnsi="Arial" w:cs="Arial"/>
          <w:b/>
        </w:rPr>
      </w:pPr>
      <w:r>
        <w:rPr>
          <w:rFonts w:cs="Arial" w:ascii="Arial" w:hAnsi="Arial"/>
        </w:rPr>
        <w:tab/>
      </w:r>
    </w:p>
    <w:p>
      <w:pPr>
        <w:pStyle w:val="Normal"/>
        <w:tabs>
          <w:tab w:val="clear" w:pos="720"/>
          <w:tab w:val="left" w:pos="3960" w:leader="none"/>
          <w:tab w:val="left" w:pos="8640" w:leader="none"/>
        </w:tabs>
        <w:ind w:hanging="2880" w:start="3600" w:end="0"/>
        <w:jc w:val="both"/>
        <w:rPr/>
      </w:pPr>
      <w:r>
        <w:rPr>
          <w:rFonts w:cs="Arial" w:ascii="Arial" w:hAnsi="Arial"/>
          <w:b/>
        </w:rPr>
        <w:t>QUANTITY:</w:t>
      </w:r>
      <w:r>
        <w:rPr>
          <w:rFonts w:cs="Arial" w:ascii="Arial" w:hAnsi="Arial"/>
        </w:rPr>
        <w:tab/>
        <w:t>A)</w:t>
        <w:tab/>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tabs>
          <w:tab w:val="clear" w:pos="720"/>
          <w:tab w:val="left" w:pos="396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3960" w:leader="none"/>
          <w:tab w:val="left" w:pos="8640" w:leader="none"/>
        </w:tabs>
        <w:ind w:hanging="2880" w:start="3600" w:end="0"/>
        <w:jc w:val="both"/>
        <w:rPr>
          <w:rFonts w:ascii="Arial" w:hAnsi="Arial" w:cs="Arial"/>
        </w:rPr>
      </w:pPr>
      <w:r>
        <w:rPr>
          <w:rFonts w:cs="Arial" w:ascii="Arial" w:hAnsi="Arial"/>
        </w:rPr>
        <w:tab/>
        <w:t>B)</w:t>
        <w:tab/>
        <w:t>Buyer shall pay for the amount of gas transported by Buyer on the SoCalGas system as documented by Buyer’s SoCalGas transportation invoice.</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numPr>
          <w:ilvl w:val="0"/>
          <w:numId w:val="2"/>
        </w:numPr>
        <w:tabs>
          <w:tab w:val="clear" w:pos="720"/>
          <w:tab w:val="left" w:pos="8640" w:leader="none"/>
        </w:tabs>
        <w:jc w:val="both"/>
        <w:rPr>
          <w:rFonts w:ascii="Arial" w:hAnsi="Arial" w:cs="Arial"/>
        </w:rPr>
      </w:pPr>
      <w:r>
        <w:rPr>
          <w:rFonts w:cs="Arial" w:ascii="Arial" w:hAnsi="Arial"/>
        </w:rPr>
        <w:t>The Forward Indexed Quantity (FIQ) shall be the daily amount set herein as follows that shall be …..</w:t>
      </w:r>
    </w:p>
    <w:p>
      <w:pPr>
        <w:pStyle w:val="Normal"/>
        <w:numPr>
          <w:ilvl w:val="0"/>
          <w:numId w:val="2"/>
        </w:numPr>
        <w:tabs>
          <w:tab w:val="clear" w:pos="720"/>
          <w:tab w:val="left" w:pos="8640" w:leader="none"/>
        </w:tabs>
        <w:jc w:val="both"/>
        <w:rPr>
          <w:rFonts w:ascii="Arial" w:hAnsi="Arial" w:cs="Arial"/>
        </w:rPr>
      </w:pPr>
      <w:r>
        <w:rPr>
          <w:rFonts w:cs="Arial" w:ascii="Arial" w:hAnsi="Arial"/>
        </w:rPr>
        <w:t xml:space="preserve">At least three days prior to the last trading day of that month’s NYMEX futures contract,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w:t>
      </w:r>
    </w:p>
    <w:p>
      <w:pPr>
        <w:pStyle w:val="Normal"/>
        <w:tabs>
          <w:tab w:val="clear" w:pos="720"/>
          <w:tab w:val="left" w:pos="396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3960" w:leader="none"/>
          <w:tab w:val="left" w:pos="4320" w:leader="none"/>
          <w:tab w:val="left" w:pos="8640" w:leader="none"/>
        </w:tabs>
        <w:ind w:hanging="2880" w:start="3600" w:end="0"/>
        <w:jc w:val="both"/>
        <w:rPr>
          <w:rFonts w:ascii="Arial" w:hAnsi="Arial" w:cs="Arial"/>
        </w:rPr>
      </w:pPr>
      <w:r>
        <w:rPr>
          <w:rFonts w:cs="Arial" w:ascii="Arial" w:hAnsi="Arial"/>
        </w:rPr>
        <w:tab/>
        <w:t>D)</w:t>
        <w:tab/>
        <w:t>After the start of the Month, if Buyer believes that its usage is higher or lower than the BDQ, beyond the tolerance permitted by SoCalGas at the time, Buyer shall contact Seller to purchase additional supplies from Seller or to sell back a portion of such BDQ to Seller at the fixed price communicated by Seller to Buyer. The Daily Contract Quantity (DCQ) shall be the positive or negative difference between the amount scheduled by the Customer and the BDQ.</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r>
    </w:p>
    <w:p>
      <w:pPr>
        <w:pStyle w:val="Normal"/>
        <w:tabs>
          <w:tab w:val="clear" w:pos="720"/>
          <w:tab w:val="left" w:pos="3600" w:leader="none"/>
          <w:tab w:val="left" w:pos="8640" w:leader="none"/>
        </w:tabs>
        <w:ind w:hanging="3600" w:start="4320" w:end="0"/>
        <w:jc w:val="both"/>
        <w:rPr/>
      </w:pPr>
      <w:r>
        <w:rPr>
          <w:rFonts w:cs="Arial" w:ascii="Arial" w:hAnsi="Arial"/>
          <w:b/>
        </w:rPr>
        <w:t>CONTRACT PRICE:</w:t>
        <w:tab/>
      </w:r>
      <w:r>
        <w:rPr>
          <w:rFonts w:cs="Arial" w:ascii="Arial" w:hAnsi="Arial"/>
        </w:rPr>
        <w:t>A)</w:t>
        <w:tab/>
        <w:t xml:space="preserve">The Contract Price for each MMBtu of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Border,” on the line titled “Southern California Border” plus $.33/MMBtu per MMBtu.</w:t>
      </w:r>
    </w:p>
    <w:p>
      <w:pPr>
        <w:pStyle w:val="Normal"/>
        <w:numPr>
          <w:ilvl w:val="0"/>
          <w:numId w:val="1"/>
        </w:numPr>
        <w:tabs>
          <w:tab w:val="clear" w:pos="720"/>
          <w:tab w:val="left" w:pos="8640" w:leader="none"/>
        </w:tabs>
        <w:jc w:val="both"/>
        <w:rPr>
          <w:rFonts w:ascii="Arial" w:hAnsi="Arial" w:cs="Arial"/>
        </w:rPr>
      </w:pPr>
      <w:r>
        <w:rPr>
          <w:rFonts w:cs="Arial" w:ascii="Arial" w:hAnsi="Arial"/>
        </w:rPr>
        <w:t>The Contract Price for any positive DCQ shall be equal to the Mid-Point Index, as posted in Financial Times Energy’s Gas Daily® publication, or successor publication, in the column "Daily Price Survey", under the heading “Others,” for SoCal gas, large packages, mid-point of the common range, plus $.00/MMBtu.  If Gas Daily does not publish a range for a particular day, the range reported in the next issue shall be used.</w:t>
      </w:r>
    </w:p>
    <w:p>
      <w:pPr>
        <w:pStyle w:val="Normal"/>
        <w:numPr>
          <w:ilvl w:val="0"/>
          <w:numId w:val="1"/>
        </w:numPr>
        <w:tabs>
          <w:tab w:val="clear" w:pos="720"/>
          <w:tab w:val="left" w:pos="8640" w:leader="none"/>
        </w:tabs>
        <w:jc w:val="both"/>
        <w:rPr>
          <w:rFonts w:ascii="Arial" w:hAnsi="Arial" w:cs="Arial"/>
        </w:rPr>
      </w:pPr>
      <w:r>
        <w:rPr>
          <w:rFonts w:cs="Arial" w:ascii="Arial" w:hAnsi="Arial"/>
        </w:rPr>
        <w:t>The Contract Price for any negative DCQ shall be equal to the Mid-Point Index, as posted in Financial Times Energy’s Gas Daily® publication, or successor publication, in the column "Daily Price Survey", under the heading “Others,” for SoCal gas, large packages, mid-point of the common range, less $.00/MMBtu.  If Gas Daily does not publish a range for a particular day, the range reported in the next issue shall be used.</w:t>
      </w:r>
    </w:p>
    <w:p>
      <w:pPr>
        <w:pStyle w:val="Normal"/>
        <w:numPr>
          <w:ilvl w:val="0"/>
          <w:numId w:val="1"/>
        </w:numPr>
        <w:tabs>
          <w:tab w:val="clear" w:pos="720"/>
          <w:tab w:val="left" w:pos="8640" w:leader="none"/>
        </w:tabs>
        <w:jc w:val="both"/>
        <w:rPr>
          <w:rFonts w:ascii="Arial" w:hAnsi="Arial" w:cs="Arial"/>
        </w:rPr>
      </w:pPr>
      <w:r>
        <w:rPr>
          <w:rFonts w:cs="Arial" w:ascii="Arial" w:hAnsi="Arial"/>
        </w:rPr>
        <w:t xml:space="preserve">If Buyer’s usage on any Day is higher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plus _____.  If Buyer’s usage on any Day is higher than the sum of the BDQ and the DCQ, and Seller incurs imbalance penalties from SoCalGas, Buyer shall be responsible for such charges.  </w:t>
      </w:r>
    </w:p>
    <w:p>
      <w:pPr>
        <w:pStyle w:val="Normal"/>
        <w:numPr>
          <w:ilvl w:val="0"/>
          <w:numId w:val="1"/>
        </w:numPr>
        <w:tabs>
          <w:tab w:val="clear" w:pos="720"/>
          <w:tab w:val="left" w:pos="8640" w:leader="none"/>
        </w:tabs>
        <w:jc w:val="both"/>
        <w:rPr>
          <w:rFonts w:ascii="Arial" w:hAnsi="Arial" w:cs="Arial"/>
        </w:rPr>
      </w:pPr>
      <w:r>
        <w:rPr>
          <w:rFonts w:cs="Arial" w:ascii="Arial" w:hAnsi="Arial"/>
        </w:rPr>
        <w:t xml:space="preserve">If Buyer’s usage on any Day is less than the sum of the BDQ and the DCQ, and Seller does not incur imbalance penalties from SoCalGas, the Contract Price for the difference between the sum of the BDQ and the DCQ and Buyer’s usage shall be equal to the Mid-Point Index, as posted in Financial Times Energy’s Gas Daily® publication, or successor publication, in the column "Daily Price Survey", under the heading “Others,” for SoCal gas, large packages, mid-point of the common range, less _____.  If Buyer’s usage on any Day is lower than the sum of the BDQ and the DCQ, and Seller incurs imbalance penalties from SoCalGas, Buyer shall be responsible for such charges.  </w:t>
      </w:r>
    </w:p>
    <w:p>
      <w:pPr>
        <w:pStyle w:val="Normal"/>
        <w:tabs>
          <w:tab w:val="clear" w:pos="720"/>
          <w:tab w:val="left" w:pos="4320" w:leader="none"/>
          <w:tab w:val="left" w:pos="8640" w:leader="none"/>
        </w:tabs>
        <w:ind w:hanging="2880" w:start="3600" w:end="0"/>
        <w:jc w:val="both"/>
        <w:rPr>
          <w:rFonts w:ascii="Arial" w:hAnsi="Arial" w:cs="Arial"/>
        </w:rPr>
      </w:pPr>
      <w:r>
        <w:rPr>
          <w:rFonts w:cs="Arial" w:ascii="Arial" w:hAnsi="Arial"/>
        </w:rPr>
        <w:tab/>
        <w:tab/>
      </w:r>
    </w:p>
    <w:p>
      <w:pPr>
        <w:pStyle w:val="Normal"/>
        <w:rPr>
          <w:rFonts w:ascii="Arial" w:hAnsi="Arial" w:cs="Arial"/>
        </w:rPr>
      </w:pPr>
      <w:r>
        <w:rPr>
          <w:rFonts w:cs="Arial" w:ascii="Arial" w:hAnsi="Arial"/>
        </w:rPr>
      </w:r>
    </w:p>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/mnt/main-storage/datasets/enron-docs/doc/gastemplate.doc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2"/>
      </w:rPr>
    </w:pPr>
    <w:r>
      <w:rPr>
        <w:sz w:val="16"/>
      </w:rPr>
      <w:fldChar w:fldCharType="begin"/>
    </w:r>
    <w:r>
      <w:rPr>
        <w:sz w:val="16"/>
      </w:rPr>
      <w:instrText xml:space="preserve"> FILENAME \p </w:instrText>
    </w:r>
    <w:r>
      <w:rPr>
        <w:sz w:val="16"/>
      </w:rPr>
      <w:fldChar w:fldCharType="separate"/>
    </w:r>
    <w:r>
      <w:rPr>
        <w:sz w:val="16"/>
      </w:rPr>
      <w:t>/mnt/main-storage/datasets/enron-docs/doc/gastemplate.doc</w:t>
    </w:r>
    <w:r>
      <w:rPr>
        <w:sz w:val="16"/>
      </w:rPr>
      <w:fldChar w:fldCharType="end"/>
    </w:r>
  </w:p>
  <w:p>
    <w:pPr>
      <w:pStyle w:val="Heading"/>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City of Pasadena</w:t>
    </w:r>
  </w:p>
  <w:p>
    <w:pPr>
      <w:pStyle w:val="Header"/>
      <w:rPr>
        <w:rFonts w:ascii="Arial" w:hAnsi="Arial" w:cs="Arial"/>
        <w:sz w:val="20"/>
      </w:rPr>
    </w:pPr>
    <w:r>
      <w:rPr>
        <w:rFonts w:cs="Arial" w:ascii="Arial" w:hAnsi="Arial"/>
        <w:sz w:val="20"/>
      </w:rPr>
      <w:t>April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200824191"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4320"/>
        </w:tabs>
        <w:ind w:start="4320" w:hanging="720"/>
      </w:pPr>
      <w:rPr/>
    </w:lvl>
  </w:abstractNum>
  <w:abstractNum w:abstractNumId="2">
    <w:lvl w:ilvl="0">
      <w:start w:val="3"/>
      <w:numFmt w:val="upperLetter"/>
      <w:lvlText w:val="%1)"/>
      <w:lvlJc w:val="start"/>
      <w:pPr>
        <w:tabs>
          <w:tab w:val="num" w:pos="3960"/>
        </w:tabs>
        <w:ind w:start="396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Indent">
    <w:name w:val="Body Text Indent"/>
    <w:basedOn w:val="Normal"/>
    <w:pPr>
      <w:tabs>
        <w:tab w:val="left" w:pos="720" w:leader="none"/>
        <w:tab w:val="left" w:pos="8640" w:leader="none"/>
      </w:tabs>
      <w:ind w:hanging="3600" w:start="3600" w:end="0"/>
      <w:jc w:val="both"/>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2000-12-11T17:38:00Z</dcterms:created>
  <dc:creator>Daniel J. Hyvl</dc:creator>
  <dc:description/>
  <dc:language>en-CA</dc:language>
  <cp:lastModifiedBy>cfoster</cp:lastModifiedBy>
  <cp:lastPrinted>2000-04-14T13:46:00Z</cp:lastPrinted>
  <dcterms:modified xsi:type="dcterms:W3CDTF">2001-01-03T12:44:00Z</dcterms:modified>
  <cp:revision>5</cp:revision>
  <dc:subject/>
  <dc:title>March 23, 2000</dc:title>
</cp:coreProperties>
</file>