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Notice of Operational Conditions on Transwestern Pipeline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tLeast" w:line="240"/>
        <w:rPr>
          <w:sz w:val="22"/>
        </w:rPr>
      </w:pPr>
      <w:r>
        <w:rPr>
          <w:sz w:val="22"/>
        </w:rPr>
        <w:t>Transwestern is currently experiencing a high level of linepack.  Operators are reminded to stay within scheduled volumes.  If high linepack conditions continue, Transwestern may take further operational measures.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gassalesposting.doc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2001-04-06T19:20:00Z</dcterms:created>
  <dc:creator>ET&amp;S</dc:creator>
  <dc:description/>
  <dc:language>en-CA</dc:language>
  <cp:lastModifiedBy>tlohman</cp:lastModifiedBy>
  <dcterms:modified xsi:type="dcterms:W3CDTF">2001-04-06T19:20:00Z</dcterms:modified>
  <cp:revision>2</cp:revision>
  <dc:subject/>
  <dc:title>Notice of Operational Conditions on Transwestern Pipeline</dc:title>
</cp:coreProperties>
</file>