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Trailblazer Pipeline Company transportation rates including fuel and surcharges, plus (ii) Wyoming Interstate Company's Medicine Bow Lateral transportation rates including fuel and surcharges, plus (iii)  the Gathering Services Fee, plus actual fuel and shrinkage;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1999-08-11T20:15:00Z</dcterms:created>
  <dc:creator>ECT</dc:creator>
  <dc:description/>
  <cp:keywords>3105</cp:keywords>
  <dc:language>en-CA</dc:language>
  <cp:lastModifiedBy>gnemec</cp:lastModifiedBy>
  <cp:lastPrinted>1999-06-18T16:37:00Z</cp:lastPrinted>
  <dcterms:modified xsi:type="dcterms:W3CDTF">1999-08-11T22:37:00Z</dcterms:modified>
  <cp:revision>12</cp:revision>
  <dc:subject>3105</dc:subject>
  <dc:title>3105 master mark up</dc:title>
</cp:coreProperties>
</file>