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t>Smurfit Stone Container Corporation</w:t>
      </w:r>
    </w:p>
    <w:p>
      <w:pPr>
        <w:pStyle w:val="Normal"/>
        <w:jc w:val="both"/>
        <w:rPr>
          <w:sz w:val="22"/>
        </w:rPr>
      </w:pPr>
      <w:r>
        <w:rPr>
          <w:sz w:val="22"/>
        </w:rPr>
        <w:t>Container Board Mill Division</w:t>
      </w:r>
    </w:p>
    <w:p>
      <w:pPr>
        <w:pStyle w:val="Normal"/>
        <w:jc w:val="both"/>
        <w:rPr/>
      </w:pPr>
      <w:r>
        <w:rPr>
          <w:sz w:val="22"/>
        </w:rPr>
        <w:t>2001 East 57</w:t>
      </w:r>
      <w:r>
        <w:rPr>
          <w:sz w:val="22"/>
          <w:vertAlign w:val="superscript"/>
        </w:rPr>
        <w:t>th</w:t>
      </w:r>
      <w:r>
        <w:rPr>
          <w:sz w:val="22"/>
        </w:rPr>
        <w:t xml:space="preserve"> Street</w:t>
      </w:r>
    </w:p>
    <w:p>
      <w:pPr>
        <w:pStyle w:val="Normal"/>
        <w:jc w:val="both"/>
        <w:rPr>
          <w:sz w:val="22"/>
        </w:rPr>
      </w:pPr>
      <w:r>
        <w:rPr>
          <w:sz w:val="22"/>
        </w:rPr>
        <w:t>P. O. Box 58832</w:t>
      </w:r>
    </w:p>
    <w:p>
      <w:pPr>
        <w:pStyle w:val="Normal"/>
        <w:jc w:val="both"/>
        <w:rPr>
          <w:sz w:val="22"/>
        </w:rPr>
      </w:pPr>
      <w:r>
        <w:rPr>
          <w:sz w:val="22"/>
        </w:rPr>
        <w:t>Vernon, CA 90058</w:t>
      </w:r>
    </w:p>
    <w:p>
      <w:pPr>
        <w:pStyle w:val="Normal"/>
        <w:jc w:val="both"/>
        <w:rPr>
          <w:sz w:val="22"/>
        </w:rPr>
      </w:pPr>
      <w:r>
        <w:rPr>
          <w:sz w:val="22"/>
        </w:rPr>
      </w:r>
    </w:p>
    <w:p>
      <w:pPr>
        <w:pStyle w:val="Normal"/>
        <w:jc w:val="both"/>
        <w:rPr>
          <w:sz w:val="22"/>
        </w:rPr>
      </w:pPr>
      <w:r>
        <w:rPr>
          <w:sz w:val="22"/>
        </w:rPr>
        <w:t>Attn:</w:t>
        <w:tab/>
        <w:t>John Ewing</w:t>
      </w:r>
    </w:p>
    <w:p>
      <w:pPr>
        <w:pStyle w:val="Normal"/>
        <w:jc w:val="both"/>
        <w:rPr>
          <w:sz w:val="22"/>
        </w:rPr>
      </w:pPr>
      <w:r>
        <w:rPr>
          <w:sz w:val="22"/>
        </w:rPr>
        <w:tab/>
        <w:t>Controller</w:t>
      </w:r>
    </w:p>
    <w:p>
      <w:pPr>
        <w:pStyle w:val="Normal"/>
        <w:jc w:val="both"/>
        <w:rPr>
          <w:sz w:val="22"/>
        </w:rPr>
      </w:pPr>
      <w:r>
        <w:rPr>
          <w:sz w:val="22"/>
        </w:rPr>
      </w:r>
    </w:p>
    <w:p>
      <w:pPr>
        <w:pStyle w:val="Heading1"/>
        <w:ind w:start="0" w:end="0"/>
        <w:rPr>
          <w:b w:val="false"/>
          <w:sz w:val="22"/>
        </w:rPr>
      </w:pPr>
      <w:r>
        <w:rPr>
          <w:b w:val="false"/>
          <w:sz w:val="22"/>
        </w:rPr>
        <w:t>Dear John:</w:t>
        <w:br/>
        <w:br/>
        <w:t>As you know, Enron is very interested in entering into a transaction with Smurfit Stone involving both natural gas and electricity. I believe we can do a very good job at helping Smurfit Stone handle all the “nuts and bolts” operations and settlements issues associated with these transactions.  More importantly, we can help manage the new price risks you will face.</w:t>
      </w:r>
    </w:p>
    <w:p>
      <w:pPr>
        <w:pStyle w:val="Normal"/>
        <w:rPr>
          <w:b/>
          <w:sz w:val="22"/>
        </w:rPr>
      </w:pPr>
      <w:r>
        <w:rPr>
          <w:b/>
          <w:sz w:val="22"/>
        </w:rPr>
      </w:r>
    </w:p>
    <w:p>
      <w:pPr>
        <w:pStyle w:val="Normal"/>
        <w:rPr/>
      </w:pPr>
      <w:r>
        <w:rPr>
          <w:sz w:val="22"/>
        </w:rPr>
        <w:t xml:space="preserve">The structure I envision would have Enron and Smurfit entering into two contracts.  The first would be a natural gas sale and the second an electricity purchase/Scheduling Coordinator arrangement.  Base prices would be established for both commodities based on index prices.  The gas indexes would be the </w:t>
      </w:r>
      <w:r>
        <w:rPr>
          <w:sz w:val="22"/>
          <w:u w:val="single"/>
        </w:rPr>
        <w:t>Natural Gas Intelligence</w:t>
      </w:r>
      <w:r>
        <w:rPr>
          <w:sz w:val="22"/>
        </w:rPr>
        <w:t xml:space="preserve"> and </w:t>
      </w:r>
      <w:r>
        <w:rPr>
          <w:sz w:val="22"/>
          <w:u w:val="single"/>
        </w:rPr>
        <w:t>Gas Daily</w:t>
      </w:r>
      <w:r>
        <w:rPr>
          <w:sz w:val="22"/>
        </w:rPr>
        <w:t>.  The electricity index would be SP-15 as posted by the California Power Exchange.  I would expect, however, that Enron and Smurfit would regularly enter into forward fixed price transactions for both commodities.  In fact, I would expect that the initial transaction would provide for a significant quantity of both commodities to be sold forward to hedge Smurfit Stone cash flows. Enron would be actively assisting Smurfit Stone in making forward price decisions by providing insight into market fundamentals.</w:t>
      </w:r>
    </w:p>
    <w:p>
      <w:pPr>
        <w:pStyle w:val="Normal"/>
        <w:rPr>
          <w:sz w:val="22"/>
        </w:rPr>
      </w:pPr>
      <w:r>
        <w:rPr>
          <w:sz w:val="22"/>
        </w:rPr>
      </w:r>
    </w:p>
    <w:p>
      <w:pPr>
        <w:pStyle w:val="Normal"/>
        <w:rPr>
          <w:sz w:val="22"/>
        </w:rPr>
      </w:pPr>
      <w:r>
        <w:rPr>
          <w:sz w:val="22"/>
        </w:rPr>
        <w:t>Attached are three items for review.  The first is a gas supply term sheet indicating the base structure of the gas deal.  The second document is a draft Scheduling Coordinator contract that would cover the electricity side of the transaction.  The third is a spreadsheet indicating current forward fixed prices for gas and power indicating estimated cash flows for Smurfit Stone.</w:t>
      </w:r>
    </w:p>
    <w:p>
      <w:pPr>
        <w:pStyle w:val="Normal"/>
        <w:rPr>
          <w:sz w:val="22"/>
        </w:rPr>
      </w:pPr>
      <w:r>
        <w:rPr>
          <w:sz w:val="22"/>
        </w:rPr>
      </w:r>
    </w:p>
    <w:p>
      <w:pPr>
        <w:pStyle w:val="Normal"/>
        <w:rPr>
          <w:sz w:val="22"/>
        </w:rPr>
      </w:pPr>
      <w:r>
        <w:rPr>
          <w:sz w:val="22"/>
        </w:rPr>
        <w:t>I look forward to discussing our approach with you in greater detail.</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t>Chris Foster</w:t>
      </w:r>
    </w:p>
    <w:p>
      <w:pPr>
        <w:pStyle w:val="Normal"/>
        <w:rPr>
          <w:sz w:val="22"/>
        </w:rPr>
      </w:pPr>
      <w:r>
        <w:rPr>
          <w:sz w:val="22"/>
        </w:rPr>
      </w:r>
    </w:p>
    <w:p>
      <w:pPr>
        <w:pStyle w:val="Normal"/>
        <w:rPr>
          <w:sz w:val="22"/>
        </w:rPr>
      </w:pPr>
      <w:r>
        <w:rPr>
          <w:sz w:val="22"/>
        </w:rPr>
      </w:r>
    </w:p>
    <w:p>
      <w:pPr>
        <w:pStyle w:val="Normal"/>
        <w:rPr>
          <w:sz w:val="22"/>
        </w:rPr>
      </w:pPr>
      <w:r>
        <w:rPr>
          <w:sz w:val="22"/>
        </w:rPr>
        <w:t xml:space="preserve">Cc:  Kim Ward, ENA Houston    </w:t>
      </w:r>
    </w:p>
    <w:p>
      <w:pPr>
        <w:pStyle w:val="Normal"/>
        <w:rPr>
          <w:sz w:val="22"/>
        </w:rPr>
      </w:pPr>
      <w:r>
        <w:rPr>
          <w:sz w:val="22"/>
        </w:rPr>
      </w:r>
    </w:p>
    <w:p>
      <w:pPr>
        <w:pStyle w:val="Normal"/>
        <w:rPr>
          <w:sz w:val="22"/>
        </w:rPr>
      </w:pPr>
      <w:r>
        <w:rPr>
          <w:sz w:val="22"/>
        </w:rPr>
      </w:r>
    </w:p>
    <w:p>
      <w:pPr>
        <w:pStyle w:val="Heading1"/>
        <w:ind w:start="0" w:end="0"/>
        <w:rPr>
          <w:b w:val="false"/>
          <w:sz w:val="22"/>
        </w:rPr>
      </w:pPr>
      <w:r>
        <w:rPr>
          <w:b w:val="false"/>
          <w:sz w:val="22"/>
        </w:rPr>
      </w:r>
      <w:r>
        <w:br w:type="page"/>
      </w:r>
    </w:p>
    <w:p>
      <w:pPr>
        <w:pStyle w:val="Heading1"/>
        <w:ind w:start="0" w:end="0"/>
        <w:jc w:val="center"/>
        <w:rPr/>
      </w:pPr>
      <w:r>
        <w:rPr/>
        <w:t>Gas Supply Summary</w:t>
      </w:r>
    </w:p>
    <w:p>
      <w:pPr>
        <w:pStyle w:val="Normal"/>
        <w:rPr/>
      </w:pPr>
      <w:r>
        <w:rPr/>
      </w:r>
    </w:p>
    <w:p>
      <w:pPr>
        <w:pStyle w:val="Normal"/>
        <w:rPr/>
      </w:pPr>
      <w:r>
        <w:rPr>
          <w:b/>
          <w:sz w:val="22"/>
        </w:rPr>
        <w:t>Seller:</w:t>
      </w:r>
      <w:r>
        <w:rPr>
          <w:sz w:val="22"/>
        </w:rPr>
        <w:tab/>
        <w:tab/>
        <w:tab/>
        <w:t>Enron North America (ENA)</w:t>
      </w:r>
    </w:p>
    <w:p>
      <w:pPr>
        <w:pStyle w:val="Normal"/>
        <w:rPr>
          <w:sz w:val="22"/>
        </w:rPr>
      </w:pPr>
      <w:r>
        <w:rPr>
          <w:sz w:val="22"/>
        </w:rPr>
      </w:r>
    </w:p>
    <w:p>
      <w:pPr>
        <w:pStyle w:val="Normal"/>
        <w:rPr/>
      </w:pPr>
      <w:r>
        <w:rPr>
          <w:b/>
          <w:sz w:val="22"/>
        </w:rPr>
        <w:t>Buyer:</w:t>
      </w:r>
      <w:r>
        <w:rPr>
          <w:sz w:val="22"/>
        </w:rPr>
        <w:tab/>
        <w:tab/>
        <w:tab/>
        <w:t>Smurfit Stone Container Corporation. (EPMI)</w:t>
      </w:r>
    </w:p>
    <w:p>
      <w:pPr>
        <w:pStyle w:val="Normal"/>
        <w:rPr>
          <w:sz w:val="22"/>
        </w:rPr>
      </w:pPr>
      <w:r>
        <w:rPr>
          <w:sz w:val="22"/>
        </w:rPr>
      </w:r>
    </w:p>
    <w:p>
      <w:pPr>
        <w:pStyle w:val="Normal"/>
        <w:rPr/>
      </w:pPr>
      <w:r>
        <w:rPr>
          <w:b/>
          <w:sz w:val="22"/>
        </w:rPr>
        <w:t>Term:</w:t>
      </w:r>
      <w:r>
        <w:rPr>
          <w:sz w:val="22"/>
        </w:rPr>
        <w:tab/>
        <w:tab/>
        <w:tab/>
        <w:t>March 1, 2001 – February 28, 2002</w:t>
      </w:r>
    </w:p>
    <w:p>
      <w:pPr>
        <w:pStyle w:val="Normal"/>
        <w:rPr>
          <w:b/>
          <w:sz w:val="22"/>
        </w:rPr>
      </w:pPr>
      <w:r>
        <w:rPr>
          <w:b/>
          <w:sz w:val="22"/>
        </w:rPr>
      </w:r>
    </w:p>
    <w:p>
      <w:pPr>
        <w:pStyle w:val="Normal"/>
        <w:ind w:hanging="360" w:start="360" w:end="0"/>
        <w:rPr/>
      </w:pPr>
      <w:r>
        <w:rPr>
          <w:b/>
          <w:sz w:val="22"/>
        </w:rPr>
        <w:t xml:space="preserve">Delivery Point: </w:t>
        <w:tab/>
      </w:r>
      <w:r>
        <w:rPr>
          <w:sz w:val="22"/>
        </w:rPr>
        <w:t>SoCal Border</w:t>
      </w:r>
    </w:p>
    <w:p>
      <w:pPr>
        <w:pStyle w:val="Normal"/>
        <w:ind w:hanging="360" w:start="360" w:end="0"/>
        <w:rPr>
          <w:sz w:val="22"/>
        </w:rPr>
      </w:pPr>
      <w:r>
        <w:rPr>
          <w:sz w:val="22"/>
        </w:rPr>
      </w:r>
    </w:p>
    <w:p>
      <w:pPr>
        <w:pStyle w:val="Normal"/>
        <w:ind w:hanging="1440" w:start="1440" w:end="0"/>
        <w:rPr/>
      </w:pPr>
      <w:r>
        <w:rPr>
          <w:b/>
          <w:sz w:val="22"/>
        </w:rPr>
        <w:t>Quantity:</w:t>
      </w:r>
      <w:r>
        <w:rPr>
          <w:sz w:val="22"/>
        </w:rPr>
        <w:tab/>
        <w:t xml:space="preserve"> </w:t>
      </w:r>
    </w:p>
    <w:p>
      <w:pPr>
        <w:pStyle w:val="Normal"/>
        <w:tabs>
          <w:tab w:val="left" w:pos="720" w:leader="none"/>
        </w:tabs>
        <w:ind w:hanging="1440" w:start="1440" w:end="0"/>
        <w:rPr>
          <w:b/>
          <w:sz w:val="22"/>
        </w:rPr>
      </w:pPr>
      <w:r>
        <w:rPr>
          <w:sz w:val="22"/>
        </w:rPr>
        <w:tab/>
      </w:r>
    </w:p>
    <w:p>
      <w:pPr>
        <w:pStyle w:val="Normal"/>
        <w:numPr>
          <w:ilvl w:val="0"/>
          <w:numId w:val="3"/>
        </w:numPr>
        <w:rPr>
          <w:sz w:val="22"/>
        </w:rPr>
      </w:pPr>
      <w:r>
        <w:rPr>
          <w:sz w:val="22"/>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3"/>
        </w:numPr>
        <w:rPr>
          <w:sz w:val="22"/>
        </w:rPr>
      </w:pPr>
      <w:r>
        <w:rPr>
          <w:sz w:val="22"/>
        </w:rPr>
        <w:t>Buyer shall pay for the amount of gas transported by Buyer on the SoCalGas system as documented by Buyer’s SoCalGas transportation invoice.</w:t>
      </w:r>
    </w:p>
    <w:p>
      <w:pPr>
        <w:pStyle w:val="Normal"/>
        <w:numPr>
          <w:ilvl w:val="0"/>
          <w:numId w:val="3"/>
        </w:numPr>
        <w:rPr>
          <w:sz w:val="22"/>
        </w:rPr>
      </w:pPr>
      <w:r>
        <w:rPr>
          <w:sz w:val="22"/>
        </w:rPr>
        <w:t xml:space="preserve">At least three days prior to the last trading day of that month’s NYMEX futures contract,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w:t>
      </w:r>
    </w:p>
    <w:p>
      <w:pPr>
        <w:pStyle w:val="Normal"/>
        <w:numPr>
          <w:ilvl w:val="0"/>
          <w:numId w:val="3"/>
        </w:numPr>
        <w:rPr>
          <w:sz w:val="22"/>
        </w:rPr>
      </w:pPr>
      <w:r>
        <w:rPr>
          <w:sz w:val="22"/>
        </w:rPr>
        <w:t>After the start of the Month, if Buyer believes that its usage is higher or lower than the BDQ, beyond the tolerance permitted by SoCalGas at the time, Buyer shall contact Seller to purchase additional supplies from Seller or to sell back a portion of such BDQ to Seller at the fixed price communicated by Seller to Buyer. The Daily Contract Quantity (DCQ) shall be the positive or negative difference between the amount scheduled by the Customer and the BDQ.</w:t>
      </w:r>
    </w:p>
    <w:p>
      <w:pPr>
        <w:pStyle w:val="Normal"/>
        <w:numPr>
          <w:ilvl w:val="0"/>
          <w:numId w:val="3"/>
        </w:numPr>
        <w:rPr>
          <w:sz w:val="22"/>
        </w:rPr>
      </w:pPr>
      <w:r>
        <w:rPr>
          <w:sz w:val="22"/>
        </w:rPr>
        <w:t>If Buyer does not schedule a DCQ, and Seller incurs imbalance penalties from SoCalGas, and such charges would have been incurred has Seller delivered the BLQ, Buyer shall reimburse Seller for such imbalance charges based on the assumption that Seller delivered the BLQ.</w:t>
      </w:r>
    </w:p>
    <w:p>
      <w:pPr>
        <w:pStyle w:val="Normal"/>
        <w:tabs>
          <w:tab w:val="clear" w:pos="720"/>
          <w:tab w:val="left" w:pos="360" w:leader="none"/>
        </w:tabs>
        <w:rPr>
          <w:sz w:val="22"/>
        </w:rPr>
      </w:pPr>
      <w:r>
        <w:rPr>
          <w:sz w:val="22"/>
        </w:rPr>
        <w:tab/>
        <w:tab/>
      </w:r>
    </w:p>
    <w:p>
      <w:pPr>
        <w:pStyle w:val="Normal"/>
        <w:tabs>
          <w:tab w:val="left" w:pos="720" w:leader="none"/>
        </w:tabs>
        <w:ind w:hanging="1440" w:start="1440" w:end="0"/>
        <w:rPr>
          <w:b/>
          <w:sz w:val="22"/>
        </w:rPr>
      </w:pPr>
      <w:r>
        <w:rPr>
          <w:b/>
          <w:sz w:val="22"/>
        </w:rPr>
        <w:t>Price:</w:t>
        <w:tab/>
      </w:r>
    </w:p>
    <w:p>
      <w:pPr>
        <w:pStyle w:val="Normal"/>
        <w:tabs>
          <w:tab w:val="clear" w:pos="720"/>
          <w:tab w:val="left" w:pos="4320" w:leader="none"/>
          <w:tab w:val="left" w:pos="8640" w:leader="none"/>
        </w:tabs>
        <w:ind w:hanging="2880" w:start="3600" w:end="0"/>
        <w:jc w:val="both"/>
        <w:rPr>
          <w:rFonts w:ascii="Arial" w:hAnsi="Arial" w:cs="Arial"/>
          <w:b/>
          <w:sz w:val="22"/>
        </w:rPr>
      </w:pPr>
      <w:r>
        <w:rPr>
          <w:rFonts w:cs="Arial" w:ascii="Arial" w:hAnsi="Arial"/>
          <w:b/>
          <w:sz w:val="22"/>
        </w:rPr>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 xml:space="preserve">The Contract Price for each MMBtu of the BDQ scheduled prior to the month shall be the price published in </w:t>
      </w:r>
      <w:r>
        <w:rPr>
          <w:rFonts w:cs="Arial" w:ascii="Arial" w:hAnsi="Arial"/>
          <w:u w:val="single"/>
        </w:rPr>
        <w:t>Natural Gas Intelligence Gas Price Index</w:t>
      </w:r>
      <w:r>
        <w:rPr>
          <w:rFonts w:cs="Arial" w:ascii="Arial" w:hAnsi="Arial"/>
        </w:rPr>
        <w:t>, or successor publication, in the first issue of the delivery month, in the table titled “California Border,” on the line titled “Southern California Border” plus $.05/MMBtu per MMBtu.</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The Contract Price for any positive DCQ shall be equal to the Mid-Point Index, as posted in Financial Times Energy’s Gas Daily® publication, or successor publication, in the column "Daily Price Survey", under the heading “Others,” for SoCal gas, large packages, mid-point of the common range, plus $.00/MMBtu.  If Gas Daily does not publish a range for a particular day, the range reported in the next issue shall be used.</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The Contract Price for any negative DCQ shall be equal to the Mid-Point Index, as posted in Financial Times Energy’s Gas Daily® publication, or successor publication, in the column "Daily Price Survey", under the heading “Others,” for SoCal gas, large packages, mid-point of the common range, less $.00/MMBtu.  If Gas Daily does not publish a range for a particular day, the range reported in the next issue shall be used.</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 xml:space="preserve">If Buyer’s usage on any Day is higher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plus $.05/MMBtu.  If Buyer’s usage on any Day is higher than the sum of the BDQ and the DCQ, and Seller incurs imbalance penalties from SoCalGas as a result, Buyer shall be responsible for such charges.  </w:t>
      </w:r>
    </w:p>
    <w:p>
      <w:pPr>
        <w:pStyle w:val="Normal"/>
        <w:numPr>
          <w:ilvl w:val="0"/>
          <w:numId w:val="4"/>
        </w:numPr>
        <w:tabs>
          <w:tab w:val="clear" w:pos="720"/>
          <w:tab w:val="left" w:pos="4320" w:leader="none"/>
          <w:tab w:val="left" w:pos="8640" w:leader="none"/>
        </w:tabs>
        <w:jc w:val="both"/>
        <w:rPr>
          <w:rFonts w:ascii="Arial" w:hAnsi="Arial" w:cs="Arial"/>
        </w:rPr>
      </w:pPr>
      <w:r>
        <w:rPr>
          <w:rFonts w:cs="Arial" w:ascii="Arial" w:hAnsi="Arial"/>
        </w:rPr>
        <w:t xml:space="preserve">If Buyer’s usage on any Day is less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less $.05/MMBtu.  If Buyer’s usage on any Day is lower than the sum of the BDQ and the DCQ, and Seller incurs imbalance penalties from SoCalGas as a result, Buyer shall be responsible for such charges.  </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rFonts w:ascii="Arial" w:hAnsi="Arial" w:cs="Arial"/>
          <w:b/>
        </w:rPr>
      </w:pPr>
      <w:r>
        <w:rPr>
          <w:rFonts w:cs="Arial" w:ascii="Arial" w:hAnsi="Arial"/>
          <w:b/>
        </w:rPr>
        <w:t>Other:</w:t>
      </w:r>
    </w:p>
    <w:p>
      <w:pPr>
        <w:pStyle w:val="Normal"/>
        <w:tabs>
          <w:tab w:val="clear" w:pos="720"/>
          <w:tab w:val="left" w:pos="4320" w:leader="none"/>
          <w:tab w:val="left" w:pos="8640" w:leader="none"/>
        </w:tabs>
        <w:jc w:val="both"/>
        <w:rPr>
          <w:rFonts w:ascii="Arial" w:hAnsi="Arial" w:cs="Arial"/>
          <w:b/>
        </w:rPr>
      </w:pPr>
      <w:r>
        <w:rPr>
          <w:rFonts w:cs="Arial" w:ascii="Arial" w:hAnsi="Arial"/>
          <w:b/>
        </w:rPr>
      </w:r>
    </w:p>
    <w:p>
      <w:pPr>
        <w:pStyle w:val="Normal"/>
        <w:numPr>
          <w:ilvl w:val="0"/>
          <w:numId w:val="2"/>
        </w:numPr>
        <w:tabs>
          <w:tab w:val="clear" w:pos="720"/>
          <w:tab w:val="left" w:pos="8640" w:leader="none"/>
        </w:tabs>
        <w:jc w:val="both"/>
        <w:rPr>
          <w:rFonts w:ascii="Arial" w:hAnsi="Arial" w:cs="Arial"/>
        </w:rPr>
      </w:pPr>
      <w:r>
        <w:rPr>
          <w:rFonts w:cs="Arial" w:ascii="Arial" w:hAnsi="Arial"/>
        </w:rPr>
        <w:t xml:space="preserve">Seller shall maintain a spreadsheet indicating the BLQ, DCQ, Buyer’s usage and the relevant </w:t>
      </w:r>
      <w:r>
        <w:rPr>
          <w:rFonts w:cs="Arial" w:ascii="Arial" w:hAnsi="Arial"/>
          <w:u w:val="single"/>
        </w:rPr>
        <w:t>Natural Gas Intelligence</w:t>
      </w:r>
      <w:r>
        <w:rPr>
          <w:rFonts w:cs="Arial" w:ascii="Arial" w:hAnsi="Arial"/>
        </w:rPr>
        <w:t xml:space="preserve"> and </w:t>
      </w:r>
      <w:r>
        <w:rPr>
          <w:rFonts w:cs="Arial" w:ascii="Arial" w:hAnsi="Arial"/>
          <w:u w:val="single"/>
        </w:rPr>
        <w:t>Gas Daily</w:t>
      </w:r>
      <w:r>
        <w:rPr>
          <w:rFonts w:cs="Arial" w:ascii="Arial" w:hAnsi="Arial"/>
        </w:rPr>
        <w:t xml:space="preserve"> prices.  This spreadsheet shall be provided to Buyer on a weekly basis.</w:t>
      </w:r>
    </w:p>
    <w:p>
      <w:pPr>
        <w:pStyle w:val="Normal"/>
        <w:numPr>
          <w:ilvl w:val="0"/>
          <w:numId w:val="2"/>
        </w:numPr>
        <w:tabs>
          <w:tab w:val="clear" w:pos="720"/>
          <w:tab w:val="left" w:pos="8640" w:leader="none"/>
        </w:tabs>
        <w:jc w:val="both"/>
        <w:rPr>
          <w:rFonts w:ascii="Arial" w:hAnsi="Arial" w:cs="Arial"/>
          <w:u w:val="single"/>
        </w:rPr>
      </w:pPr>
      <w:r>
        <w:rPr>
          <w:rFonts w:cs="Arial" w:ascii="Arial" w:hAnsi="Arial"/>
          <w:u w:val="single"/>
        </w:rPr>
      </w:r>
    </w:p>
    <w:p>
      <w:pPr>
        <w:pStyle w:val="Normal"/>
        <w:tabs>
          <w:tab w:val="clear" w:pos="720"/>
          <w:tab w:val="left" w:pos="4320" w:leader="none"/>
          <w:tab w:val="left" w:pos="8640" w:leader="none"/>
        </w:tabs>
        <w:jc w:val="both"/>
        <w:rPr>
          <w:rFonts w:ascii="Arial" w:hAnsi="Arial" w:cs="Arial"/>
          <w:u w:val="single"/>
        </w:rPr>
      </w:pPr>
      <w:r>
        <w:rPr>
          <w:rFonts w:cs="Arial" w:ascii="Arial" w:hAnsi="Arial"/>
          <w:u w:val="single"/>
        </w:rPr>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jc w:val="both"/>
        <w:rPr>
          <w:rFonts w:ascii="Arial" w:hAnsi="Arial" w:cs="Arial"/>
          <w:sz w:val="22"/>
        </w:rPr>
      </w:pPr>
      <w:r>
        <w:rPr>
          <w:rFonts w:cs="Arial" w:ascii="Arial" w:hAnsi="Arial"/>
          <w:sz w:val="22"/>
        </w:rPr>
      </w:r>
    </w:p>
    <w:p>
      <w:pPr>
        <w:pStyle w:val="Normal"/>
        <w:jc w:val="both"/>
        <w:rPr>
          <w:sz w:val="22"/>
        </w:rPr>
      </w:pPr>
      <w:r>
        <w:rPr>
          <w:sz w:val="22"/>
        </w:rPr>
      </w:r>
    </w:p>
    <w:p>
      <w:pPr>
        <w:pStyle w:val="Normal"/>
        <w:ind w:start="1440" w:end="0"/>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2880" w:end="0"/>
      <w:outlineLvl w:val="0"/>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sz w:val="22"/>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360" w:start="360" w:end="0"/>
    </w:pPr>
    <w:rPr>
      <w:rFonts w:ascii="Helv" w:hAnsi="Helv" w:cs="Helv"/>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2001-01-10T13:37:00Z</dcterms:created>
  <dc:creator>cfoster</dc:creator>
  <dc:description/>
  <dc:language>en-CA</dc:language>
  <cp:lastModifiedBy>cfoster</cp:lastModifiedBy>
  <dcterms:modified xsi:type="dcterms:W3CDTF">2001-01-10T14:48:00Z</dcterms:modified>
  <cp:revision>3</cp:revision>
  <dc:subject/>
  <dc:title>Here is the gas deal that we have agreed to with Harbor</dc:title>
</cp:coreProperties>
</file>