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pPr>
      <w:r>
        <w:rPr/>
        <w:t>Gas Supply Summary</w:t>
      </w:r>
    </w:p>
    <w:p>
      <w:pPr>
        <w:pStyle w:val="Normal"/>
        <w:rPr>
          <w:lang w:val="en-CA"/>
        </w:rPr>
      </w:pPr>
      <w:r>
        <w:rPr>
          <w:lang w:val="en-CA"/>
        </w:rPr>
        <w:drawing>
          <wp:anchor behindDoc="0" distT="0" distB="0" distL="114935" distR="114935" simplePos="0" locked="0" layoutInCell="1" allowOverlap="1" relativeHeight="2">
            <wp:simplePos x="0" y="0"/>
            <wp:positionH relativeFrom="column">
              <wp:posOffset>45720</wp:posOffset>
            </wp:positionH>
            <wp:positionV relativeFrom="paragraph">
              <wp:posOffset>-632460</wp:posOffset>
            </wp:positionV>
            <wp:extent cx="731520" cy="72707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1" t="-11" r="-11" b="-11"/>
                    <a:stretch>
                      <a:fillRect/>
                    </a:stretch>
                  </pic:blipFill>
                  <pic:spPr bwMode="auto">
                    <a:xfrm>
                      <a:off x="0" y="0"/>
                      <a:ext cx="731520" cy="727075"/>
                    </a:xfrm>
                    <a:prstGeom prst="rect">
                      <a:avLst/>
                    </a:prstGeom>
                    <a:noFill/>
                  </pic:spPr>
                </pic:pic>
              </a:graphicData>
            </a:graphic>
          </wp:anchor>
        </w:drawing>
      </w:r>
    </w:p>
    <w:p>
      <w:pPr>
        <w:pStyle w:val="Normal"/>
        <w:rPr/>
      </w:pPr>
      <w:r>
        <w:rPr/>
      </w:r>
    </w:p>
    <w:p>
      <w:pPr>
        <w:pStyle w:val="Normal"/>
        <w:rPr/>
      </w:pPr>
      <w:r>
        <w:rPr/>
      </w:r>
    </w:p>
    <w:p>
      <w:pPr>
        <w:pStyle w:val="Normal"/>
        <w:rPr/>
      </w:pPr>
      <w:r>
        <w:rPr>
          <w:b/>
        </w:rPr>
        <w:t>Seller:</w:t>
      </w:r>
      <w:r>
        <w:rPr/>
        <w:tab/>
        <w:t>Enron Power Marketing, Inc. (EPMI)</w:t>
      </w:r>
    </w:p>
    <w:p>
      <w:pPr>
        <w:pStyle w:val="Normal"/>
        <w:rPr/>
      </w:pPr>
      <w:r>
        <w:rPr/>
      </w:r>
    </w:p>
    <w:p>
      <w:pPr>
        <w:pStyle w:val="Normal"/>
        <w:rPr/>
      </w:pPr>
      <w:r>
        <w:rPr>
          <w:b/>
        </w:rPr>
        <w:t>Buyer:</w:t>
      </w:r>
      <w:r>
        <w:rPr/>
        <w:tab/>
        <w:t>Harbor Cogeneration Copany</w:t>
      </w:r>
    </w:p>
    <w:p>
      <w:pPr>
        <w:pStyle w:val="Normal"/>
        <w:rPr/>
      </w:pPr>
      <w:r>
        <w:rPr/>
      </w:r>
    </w:p>
    <w:p>
      <w:pPr>
        <w:pStyle w:val="Normal"/>
        <w:rPr/>
      </w:pPr>
      <w:r>
        <w:rPr>
          <w:b/>
        </w:rPr>
        <w:t>Term:</w:t>
      </w:r>
      <w:r>
        <w:rPr/>
        <w:tab/>
        <w:t>September 1 – October 31, 2000 and month to month thereafter</w:t>
      </w:r>
    </w:p>
    <w:p>
      <w:pPr>
        <w:pStyle w:val="Normal"/>
        <w:rPr>
          <w:b/>
        </w:rPr>
      </w:pPr>
      <w:r>
        <w:rPr>
          <w:b/>
        </w:rPr>
      </w:r>
    </w:p>
    <w:p>
      <w:pPr>
        <w:pStyle w:val="Normal"/>
        <w:ind w:hanging="360" w:start="360" w:end="0"/>
        <w:rPr/>
      </w:pPr>
      <w:r>
        <w:rPr>
          <w:b/>
        </w:rPr>
        <w:t xml:space="preserve">Delivery Point:  </w:t>
      </w:r>
      <w:r>
        <w:rPr/>
        <w:t>SoCal Border</w:t>
      </w:r>
    </w:p>
    <w:p>
      <w:pPr>
        <w:pStyle w:val="Normal"/>
        <w:ind w:hanging="360" w:start="360" w:end="0"/>
        <w:rPr/>
      </w:pPr>
      <w:r>
        <w:rPr/>
      </w:r>
    </w:p>
    <w:p>
      <w:pPr>
        <w:pStyle w:val="Normal"/>
        <w:ind w:hanging="360" w:start="360" w:end="0"/>
        <w:rPr/>
      </w:pPr>
      <w:r>
        <w:rPr>
          <w:b/>
        </w:rPr>
        <w:t>Quantity:</w:t>
      </w:r>
      <w:r>
        <w:rPr/>
        <w:tab/>
        <w:t>Usage as indicated on the SoCalGas Imbalance Statement</w:t>
      </w:r>
    </w:p>
    <w:p>
      <w:pPr>
        <w:pStyle w:val="Normal"/>
        <w:tabs>
          <w:tab w:val="clear" w:pos="720"/>
          <w:tab w:val="left" w:pos="360" w:leader="none"/>
        </w:tabs>
        <w:rPr/>
      </w:pPr>
      <w:r>
        <w:rPr/>
        <w:tab/>
        <w:tab/>
        <w:tab/>
      </w:r>
    </w:p>
    <w:p>
      <w:pPr>
        <w:pStyle w:val="Normal"/>
        <w:ind w:hanging="1440" w:start="1440" w:end="0"/>
        <w:rPr/>
      </w:pPr>
      <w:r>
        <w:rPr>
          <w:b/>
        </w:rPr>
        <w:t>Price:</w:t>
        <w:tab/>
      </w:r>
      <w:r>
        <w:rPr/>
        <w:t>Option 1:  HCC pays a demand charge each month and a variable charge per unit consumed as follows:</w:t>
      </w:r>
    </w:p>
    <w:p>
      <w:pPr>
        <w:pStyle w:val="Normal"/>
        <w:ind w:firstLine="720" w:start="1620" w:end="0"/>
        <w:rPr/>
      </w:pPr>
      <w:r>
        <w:rPr/>
        <w:t xml:space="preserve">Demand Charge of  $15,000/Month.  </w:t>
      </w:r>
    </w:p>
    <w:p>
      <w:pPr>
        <w:pStyle w:val="Normal"/>
        <w:ind w:hanging="1440" w:start="2340" w:end="0"/>
        <w:rPr/>
      </w:pPr>
      <w:r>
        <w:rPr>
          <w:b/>
        </w:rPr>
        <w:tab/>
      </w:r>
      <w:r>
        <w:rPr/>
        <w:t xml:space="preserve">Variable Charge = </w:t>
      </w:r>
      <w:r>
        <w:rPr>
          <w:u w:val="single"/>
        </w:rPr>
        <w:t>Gas Daily</w:t>
      </w:r>
      <w:r>
        <w:rPr/>
        <w:t xml:space="preserve"> SoCal Border Index (Large Packages) Mid-Point of the Range</w:t>
      </w:r>
    </w:p>
    <w:p>
      <w:pPr>
        <w:pStyle w:val="Normal"/>
        <w:ind w:hanging="1440" w:start="1440" w:end="0"/>
        <w:rPr/>
      </w:pPr>
      <w:r>
        <w:rPr/>
      </w:r>
    </w:p>
    <w:p>
      <w:pPr>
        <w:pStyle w:val="Normal"/>
        <w:ind w:hanging="1440" w:start="1440" w:end="0"/>
        <w:rPr/>
      </w:pPr>
      <w:r>
        <w:rPr>
          <w:b/>
        </w:rPr>
        <w:tab/>
      </w:r>
      <w:r>
        <w:rPr/>
        <w:t>Option 2:</w:t>
        <w:tab/>
        <w:t>HCC pays a variable charge only as follows:</w:t>
      </w:r>
    </w:p>
    <w:p>
      <w:pPr>
        <w:pStyle w:val="Normal"/>
        <w:ind w:start="1440" w:end="0"/>
        <w:rPr/>
      </w:pPr>
      <w:r>
        <w:rPr/>
      </w:r>
    </w:p>
    <w:p>
      <w:pPr>
        <w:pStyle w:val="Normal"/>
        <w:ind w:hanging="1440" w:start="2340" w:end="0"/>
        <w:rPr/>
      </w:pPr>
      <w:r>
        <w:rPr/>
        <w:tab/>
        <w:t xml:space="preserve">Variable Charge = </w:t>
      </w:r>
      <w:r>
        <w:rPr>
          <w:u w:val="single"/>
        </w:rPr>
        <w:t>Gas Daily</w:t>
      </w:r>
      <w:r>
        <w:rPr/>
        <w:t xml:space="preserve"> SoCal Border Index (Large Packages) Mid-Point of the Range, plus $.05/MMBtu</w:t>
      </w:r>
    </w:p>
    <w:p>
      <w:pPr>
        <w:pStyle w:val="Normal"/>
        <w:ind w:start="1440" w:end="0"/>
        <w:rPr/>
      </w:pPr>
      <w:r>
        <w:rPr/>
      </w:r>
    </w:p>
    <w:p>
      <w:pPr>
        <w:pStyle w:val="Normal"/>
        <w:spacing w:lineRule="atLeast" w:line="240"/>
        <w:rPr>
          <w:rFonts w:ascii="Helv" w:hAnsi="Helv" w:cs="Helv"/>
          <w:b/>
          <w:color w:val="000000"/>
          <w:lang w:eastAsia="en-US"/>
        </w:rPr>
      </w:pPr>
      <w:r>
        <w:rPr>
          <w:rFonts w:cs="Helv" w:ascii="Helv" w:hAnsi="Helv"/>
          <w:b/>
          <w:color w:val="000000"/>
          <w:lang w:eastAsia="en-US"/>
        </w:rPr>
        <w:t>Operational Procedures:</w:t>
      </w:r>
    </w:p>
    <w:p>
      <w:pPr>
        <w:pStyle w:val="Normal"/>
        <w:spacing w:lineRule="atLeast" w:line="240"/>
        <w:rPr>
          <w:rFonts w:ascii="Helv" w:hAnsi="Helv" w:cs="Helv"/>
          <w:b/>
          <w:color w:val="000000"/>
          <w:lang w:eastAsia="en-US"/>
        </w:rPr>
      </w:pPr>
      <w:r>
        <w:rPr>
          <w:rFonts w:cs="Helv" w:ascii="Helv" w:hAnsi="Helv"/>
          <w:b/>
          <w:color w:val="000000"/>
          <w:lang w:eastAsia="en-US"/>
        </w:rPr>
      </w:r>
    </w:p>
    <w:p>
      <w:pPr>
        <w:pStyle w:val="BodyTextIndent"/>
        <w:numPr>
          <w:ilvl w:val="0"/>
          <w:numId w:val="2"/>
        </w:numPr>
        <w:rPr/>
      </w:pPr>
      <w:r>
        <w:rPr/>
        <w:t>By close of business one day prior to the third to last day of NYMEX trading for the prompt month, EPMI and HCC will determine if Option 1 or Option 2 will be selected for that prompt month.  EPMI will notify the West Gas Desk of the option selected.</w:t>
      </w:r>
    </w:p>
    <w:p>
      <w:pPr>
        <w:pStyle w:val="BodyTextIndent"/>
        <w:numPr>
          <w:ilvl w:val="0"/>
          <w:numId w:val="2"/>
        </w:numPr>
        <w:rPr/>
      </w:pPr>
      <w:r>
        <w:rPr/>
        <w:t>Each day by 6:30 am, EPMI will notify the West Gas Desk of estimated usage for the next day.  The estimate for Saturday – Monday shall be provided by 6:30 am on Friday morning.  For any holidays, the estimate shall be provided according to the gas scheduling protocol for that holiday.</w:t>
      </w:r>
    </w:p>
    <w:p>
      <w:pPr>
        <w:pStyle w:val="BodyTextIndent"/>
        <w:numPr>
          <w:ilvl w:val="0"/>
          <w:numId w:val="2"/>
        </w:numPr>
        <w:rPr/>
      </w:pPr>
      <w:r>
        <w:rPr/>
        <w:t>EPMI will purchase the gas from the West Gas Desk and net this amount off the energy payment made to HCC by the 25 th of the month following delivery.</w:t>
      </w:r>
    </w:p>
    <w:p>
      <w:pPr>
        <w:pStyle w:val="BodyTextIndent"/>
        <w:numPr>
          <w:ilvl w:val="0"/>
          <w:numId w:val="2"/>
        </w:numPr>
        <w:rPr/>
      </w:pPr>
      <w:r>
        <w:rPr/>
        <w:t>HCC shall pay for the amount of energy consumed, based on the SoCalGas imbalance statement.</w:t>
      </w:r>
    </w:p>
    <w:p>
      <w:pPr>
        <w:pStyle w:val="BodyTextIndent"/>
        <w:numPr>
          <w:ilvl w:val="0"/>
          <w:numId w:val="2"/>
        </w:numPr>
        <w:rPr/>
      </w:pPr>
      <w:r>
        <w:rPr/>
        <w:t>During any SoCalGas Operational Flow Orders, the parties will cooperate to avoid imbalance penalties.  EPMI shall provide a minimum or maximum gas burn that will become a firm quantity.  Any deviations from this firm quantity shall be the financial responsibility of HCC and EPMI.  Other than this exception, the West Gas Desk can deliver any daily or monthly amount it desires provided that any imbalance charges assessed SoCalGas shall be borne by the West gas Desk.</w:t>
      </w:r>
    </w:p>
    <w:p>
      <w:pPr>
        <w:pStyle w:val="BodyTextIndent"/>
        <w:rPr/>
      </w:pPr>
      <w:r>
        <w:rPr/>
      </w:r>
    </w:p>
    <w:p>
      <w:pPr>
        <w:pStyle w:val="Normal"/>
        <w:tabs>
          <w:tab w:val="clear" w:pos="720"/>
          <w:tab w:val="left" w:pos="360" w:leader="none"/>
        </w:tabs>
        <w:ind w:hanging="1440" w:start="1440" w:end="0"/>
        <w:rPr/>
      </w:pPr>
      <w:r>
        <w:rPr>
          <w:b/>
        </w:rPr>
        <w:tab/>
      </w:r>
      <w:r>
        <w:rPr/>
        <w:t xml:space="preserve">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2880" w:end="0"/>
      <w:outlineLvl w:val="0"/>
    </w:pPr>
    <w:rPr>
      <w:b/>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tLeast" w:line="240"/>
      <w:ind w:hanging="360" w:start="360" w:end="0"/>
    </w:pPr>
    <w:rPr>
      <w:rFonts w:ascii="Helv" w:hAnsi="Helv" w:cs="Helv"/>
      <w:color w:val="000000"/>
      <w:lang w:eastAsia="en-U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2000-09-18T13:24:00Z</dcterms:created>
  <dc:creator>cfoster</dc:creator>
  <dc:description/>
  <dc:language>en-CA</dc:language>
  <cp:lastModifiedBy>cfoster</cp:lastModifiedBy>
  <dcterms:modified xsi:type="dcterms:W3CDTF">2000-09-18T13:24:00Z</dcterms:modified>
  <cp:revision>2</cp:revision>
  <dc:subject/>
  <dc:title>Here is the gas deal that we have agreed to with Harbor</dc:title>
</cp:coreProperties>
</file>