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240" w:after="60"/>
        <w:ind w:hanging="0" w:start="0"/>
        <w:rPr>
          <w:rFonts w:ascii="Tahoma" w:hAnsi="Tahoma" w:cs="Tahoma"/>
        </w:rPr>
      </w:pPr>
      <w:r>
        <w:rPr>
          <w:rFonts w:cs="Tahoma" w:ascii="Tahoma" w:hAnsi="Tahoma"/>
        </w:rPr>
        <w:t>7.0</w:t>
        <w:tab/>
        <w:t>Conexant Information TO Follow</w:t>
      </w:r>
    </w:p>
    <w:p>
      <w:pPr>
        <w:pStyle w:val="ListBullet21"/>
        <w:numPr>
          <w:ilvl w:val="0"/>
          <w:numId w:val="0"/>
        </w:numPr>
        <w:tabs>
          <w:tab w:val="clear" w:pos="720"/>
        </w:tabs>
        <w:ind w:hanging="0" w:start="1440" w:end="0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tbl>
      <w:tblPr>
        <w:tblW w:w="7380" w:type="dxa"/>
        <w:jc w:val="start"/>
        <w:tblInd w:w="46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1710"/>
        <w:gridCol w:w="1890"/>
        <w:gridCol w:w="1620"/>
      </w:tblGrid>
      <w:tr>
        <w:trPr/>
        <w:tc>
          <w:tcPr>
            <w:tcW w:w="7380" w:type="dxa"/>
            <w:gridSpan w:val="4"/>
            <w:tcBorders>
              <w:top w:val="single" w:sz="4" w:space="0" w:color="C0C0C0"/>
              <w:start w:val="single" w:sz="4" w:space="0" w:color="C0C0C0"/>
              <w:end w:val="single" w:sz="4" w:space="0" w:color="C0C0C0"/>
            </w:tcBorders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Historical Monthly Consumption</w:t>
            </w:r>
          </w:p>
          <w:p>
            <w:pPr>
              <w:pStyle w:val="BodyTextIndent2"/>
              <w:ind w:start="0" w:end="0"/>
              <w:jc w:val="center"/>
              <w:rPr/>
            </w:pPr>
            <w:r>
              <w:rPr/>
              <w:t>October 2000 – September 2001</w:t>
            </w:r>
          </w:p>
        </w:tc>
      </w:tr>
      <w:tr>
        <w:trPr/>
        <w:tc>
          <w:tcPr>
            <w:tcW w:w="2160" w:type="dxa"/>
            <w:tcBorders>
              <w:top w:val="single" w:sz="4" w:space="0" w:color="C0C0C0"/>
              <w:start w:val="single" w:sz="4" w:space="0" w:color="C0C0C0"/>
            </w:tcBorders>
          </w:tcPr>
          <w:p>
            <w:pPr>
              <w:pStyle w:val="BodyTextIndent2"/>
              <w:snapToGrid w:val="false"/>
              <w:ind w:start="0" w:end="0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C0C0C0"/>
            </w:tcBorders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Therms</w:t>
            </w:r>
          </w:p>
        </w:tc>
        <w:tc>
          <w:tcPr>
            <w:tcW w:w="1890" w:type="dxa"/>
            <w:tcBorders>
              <w:top w:val="single" w:sz="4" w:space="0" w:color="C0C0C0"/>
            </w:tcBorders>
          </w:tcPr>
          <w:p>
            <w:pPr>
              <w:pStyle w:val="BodyTextIndent2"/>
              <w:snapToGrid w:val="false"/>
              <w:ind w:start="0" w:end="0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C0C0C0"/>
              <w:end w:val="single" w:sz="4" w:space="0" w:color="C0C0C0"/>
            </w:tcBorders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Therms</w:t>
            </w:r>
          </w:p>
        </w:tc>
      </w:tr>
      <w:tr>
        <w:trPr/>
        <w:tc>
          <w:tcPr>
            <w:tcW w:w="2160" w:type="dxa"/>
            <w:tcBorders>
              <w:start w:val="single" w:sz="4" w:space="0" w:color="C0C0C0"/>
            </w:tcBorders>
          </w:tcPr>
          <w:p>
            <w:pPr>
              <w:pStyle w:val="BodyTextIndent2"/>
              <w:ind w:start="0" w:end="0"/>
              <w:rPr/>
            </w:pPr>
            <w:r>
              <w:rPr/>
              <w:t>October</w:t>
            </w:r>
          </w:p>
        </w:tc>
        <w:tc>
          <w:tcPr>
            <w:tcW w:w="1710" w:type="dxa"/>
            <w:tcBorders/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</w:rPr>
            </w:pPr>
            <w:r>
              <w:rPr>
                <w:rFonts w:cs="Tahoma" w:ascii="Tahoma" w:hAnsi="Tahoma"/>
              </w:rPr>
              <w:t>245,260</w:t>
            </w:r>
          </w:p>
        </w:tc>
        <w:tc>
          <w:tcPr>
            <w:tcW w:w="1890" w:type="dxa"/>
            <w:tcBorders/>
          </w:tcPr>
          <w:p>
            <w:pPr>
              <w:pStyle w:val="BodyTextIndent2"/>
              <w:ind w:start="0" w:end="0"/>
              <w:rPr/>
            </w:pPr>
            <w:r>
              <w:rPr/>
              <w:t>April</w:t>
            </w:r>
          </w:p>
        </w:tc>
        <w:tc>
          <w:tcPr>
            <w:tcW w:w="1620" w:type="dxa"/>
            <w:tcBorders>
              <w:end w:val="single" w:sz="4" w:space="0" w:color="C0C0C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</w:rPr>
            </w:pPr>
            <w:r>
              <w:rPr>
                <w:rFonts w:cs="Tahoma" w:ascii="Tahoma" w:hAnsi="Tahoma"/>
              </w:rPr>
              <w:t>244,330</w:t>
            </w:r>
          </w:p>
        </w:tc>
      </w:tr>
      <w:tr>
        <w:trPr/>
        <w:tc>
          <w:tcPr>
            <w:tcW w:w="2160" w:type="dxa"/>
            <w:tcBorders>
              <w:start w:val="single" w:sz="4" w:space="0" w:color="C0C0C0"/>
            </w:tcBorders>
          </w:tcPr>
          <w:p>
            <w:pPr>
              <w:pStyle w:val="BodyTextIndent2"/>
              <w:ind w:start="0" w:end="0"/>
              <w:rPr/>
            </w:pPr>
            <w:r>
              <w:rPr/>
              <w:t>November</w:t>
            </w:r>
          </w:p>
        </w:tc>
        <w:tc>
          <w:tcPr>
            <w:tcW w:w="1710" w:type="dxa"/>
            <w:tcBorders/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</w:rPr>
            </w:pPr>
            <w:r>
              <w:rPr>
                <w:rFonts w:cs="Tahoma" w:ascii="Tahoma" w:hAnsi="Tahoma"/>
              </w:rPr>
              <w:t>262,251</w:t>
            </w:r>
          </w:p>
        </w:tc>
        <w:tc>
          <w:tcPr>
            <w:tcW w:w="1890" w:type="dxa"/>
            <w:tcBorders/>
          </w:tcPr>
          <w:p>
            <w:pPr>
              <w:pStyle w:val="BodyTextIndent2"/>
              <w:ind w:start="0" w:end="0"/>
              <w:rPr/>
            </w:pPr>
            <w:r>
              <w:rPr/>
              <w:t>May</w:t>
            </w:r>
          </w:p>
        </w:tc>
        <w:tc>
          <w:tcPr>
            <w:tcW w:w="1620" w:type="dxa"/>
            <w:tcBorders>
              <w:end w:val="single" w:sz="4" w:space="0" w:color="C0C0C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</w:rPr>
            </w:pPr>
            <w:r>
              <w:rPr>
                <w:rFonts w:cs="Tahoma" w:ascii="Tahoma" w:hAnsi="Tahoma"/>
              </w:rPr>
              <w:t>232,920</w:t>
            </w:r>
          </w:p>
        </w:tc>
      </w:tr>
      <w:tr>
        <w:trPr/>
        <w:tc>
          <w:tcPr>
            <w:tcW w:w="2160" w:type="dxa"/>
            <w:tcBorders>
              <w:start w:val="single" w:sz="4" w:space="0" w:color="C0C0C0"/>
            </w:tcBorders>
          </w:tcPr>
          <w:p>
            <w:pPr>
              <w:pStyle w:val="BodyTextIndent2"/>
              <w:ind w:start="0" w:end="0"/>
              <w:rPr/>
            </w:pPr>
            <w:r>
              <w:rPr/>
              <w:t>December</w:t>
            </w:r>
          </w:p>
        </w:tc>
        <w:tc>
          <w:tcPr>
            <w:tcW w:w="1710" w:type="dxa"/>
            <w:tcBorders/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</w:rPr>
            </w:pPr>
            <w:r>
              <w:rPr>
                <w:rFonts w:cs="Tahoma" w:ascii="Tahoma" w:hAnsi="Tahoma"/>
              </w:rPr>
              <w:t>272,129</w:t>
            </w:r>
          </w:p>
        </w:tc>
        <w:tc>
          <w:tcPr>
            <w:tcW w:w="1890" w:type="dxa"/>
            <w:tcBorders/>
          </w:tcPr>
          <w:p>
            <w:pPr>
              <w:pStyle w:val="BodyTextIndent2"/>
              <w:ind w:start="0" w:end="0"/>
              <w:rPr/>
            </w:pPr>
            <w:r>
              <w:rPr/>
              <w:t>June</w:t>
            </w:r>
          </w:p>
        </w:tc>
        <w:tc>
          <w:tcPr>
            <w:tcW w:w="1620" w:type="dxa"/>
            <w:tcBorders>
              <w:end w:val="single" w:sz="4" w:space="0" w:color="C0C0C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</w:rPr>
            </w:pPr>
            <w:r>
              <w:rPr>
                <w:rFonts w:cs="Tahoma" w:ascii="Tahoma" w:hAnsi="Tahoma"/>
              </w:rPr>
              <w:t>204,360</w:t>
            </w:r>
          </w:p>
        </w:tc>
      </w:tr>
      <w:tr>
        <w:trPr/>
        <w:tc>
          <w:tcPr>
            <w:tcW w:w="2160" w:type="dxa"/>
            <w:tcBorders>
              <w:start w:val="single" w:sz="4" w:space="0" w:color="C0C0C0"/>
            </w:tcBorders>
          </w:tcPr>
          <w:p>
            <w:pPr>
              <w:pStyle w:val="BodyTextIndent2"/>
              <w:ind w:start="0" w:end="0"/>
              <w:rPr/>
            </w:pPr>
            <w:r>
              <w:rPr/>
              <w:t>January</w:t>
            </w:r>
          </w:p>
        </w:tc>
        <w:tc>
          <w:tcPr>
            <w:tcW w:w="1710" w:type="dxa"/>
            <w:tcBorders/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</w:rPr>
            </w:pPr>
            <w:r>
              <w:rPr>
                <w:rFonts w:cs="Tahoma" w:ascii="Tahoma" w:hAnsi="Tahoma"/>
              </w:rPr>
              <w:t>282,983</w:t>
            </w:r>
          </w:p>
        </w:tc>
        <w:tc>
          <w:tcPr>
            <w:tcW w:w="1890" w:type="dxa"/>
            <w:tcBorders/>
          </w:tcPr>
          <w:p>
            <w:pPr>
              <w:pStyle w:val="BodyTextIndent2"/>
              <w:ind w:start="0" w:end="0"/>
              <w:rPr/>
            </w:pPr>
            <w:r>
              <w:rPr/>
              <w:t>July</w:t>
            </w:r>
          </w:p>
        </w:tc>
        <w:tc>
          <w:tcPr>
            <w:tcW w:w="1620" w:type="dxa"/>
            <w:tcBorders>
              <w:end w:val="single" w:sz="4" w:space="0" w:color="C0C0C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</w:rPr>
            </w:pPr>
            <w:r>
              <w:rPr>
                <w:rFonts w:cs="Tahoma" w:ascii="Tahoma" w:hAnsi="Tahoma"/>
              </w:rPr>
              <w:t>203,970</w:t>
            </w:r>
          </w:p>
        </w:tc>
      </w:tr>
      <w:tr>
        <w:trPr/>
        <w:tc>
          <w:tcPr>
            <w:tcW w:w="2160" w:type="dxa"/>
            <w:tcBorders>
              <w:start w:val="single" w:sz="4" w:space="0" w:color="C0C0C0"/>
            </w:tcBorders>
          </w:tcPr>
          <w:p>
            <w:pPr>
              <w:pStyle w:val="BodyTextIndent2"/>
              <w:ind w:start="0" w:end="0"/>
              <w:rPr/>
            </w:pPr>
            <w:r>
              <w:rPr/>
              <w:t>February</w:t>
            </w:r>
          </w:p>
        </w:tc>
        <w:tc>
          <w:tcPr>
            <w:tcW w:w="1710" w:type="dxa"/>
            <w:tcBorders/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</w:rPr>
            </w:pPr>
            <w:r>
              <w:rPr>
                <w:rFonts w:cs="Tahoma" w:ascii="Tahoma" w:hAnsi="Tahoma"/>
              </w:rPr>
              <w:t>252,099</w:t>
            </w:r>
          </w:p>
        </w:tc>
        <w:tc>
          <w:tcPr>
            <w:tcW w:w="1890" w:type="dxa"/>
            <w:tcBorders/>
          </w:tcPr>
          <w:p>
            <w:pPr>
              <w:pStyle w:val="BodyTextIndent2"/>
              <w:ind w:start="0" w:end="0"/>
              <w:rPr/>
            </w:pPr>
            <w:r>
              <w:rPr/>
              <w:t>August</w:t>
            </w:r>
          </w:p>
        </w:tc>
        <w:tc>
          <w:tcPr>
            <w:tcW w:w="1620" w:type="dxa"/>
            <w:tcBorders>
              <w:end w:val="single" w:sz="4" w:space="0" w:color="C0C0C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</w:rPr>
            </w:pPr>
            <w:r>
              <w:rPr>
                <w:rFonts w:cs="Tahoma" w:ascii="Tahoma" w:hAnsi="Tahoma"/>
              </w:rPr>
              <w:t>203,370</w:t>
            </w:r>
          </w:p>
        </w:tc>
      </w:tr>
      <w:tr>
        <w:trPr/>
        <w:tc>
          <w:tcPr>
            <w:tcW w:w="2160" w:type="dxa"/>
            <w:tcBorders>
              <w:start w:val="single" w:sz="4" w:space="0" w:color="C0C0C0"/>
              <w:bottom w:val="single" w:sz="4" w:space="0" w:color="C0C0C0"/>
            </w:tcBorders>
          </w:tcPr>
          <w:p>
            <w:pPr>
              <w:pStyle w:val="BodyTextIndent2"/>
              <w:ind w:start="0" w:end="0"/>
              <w:rPr/>
            </w:pPr>
            <w:r>
              <w:rPr/>
              <w:t>March</w:t>
            </w:r>
          </w:p>
        </w:tc>
        <w:tc>
          <w:tcPr>
            <w:tcW w:w="1710" w:type="dxa"/>
            <w:tcBorders>
              <w:bottom w:val="single" w:sz="4" w:space="0" w:color="C0C0C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</w:rPr>
            </w:pPr>
            <w:r>
              <w:rPr>
                <w:rFonts w:cs="Tahoma" w:ascii="Tahoma" w:hAnsi="Tahoma"/>
              </w:rPr>
              <w:t>259,030</w:t>
            </w:r>
          </w:p>
        </w:tc>
        <w:tc>
          <w:tcPr>
            <w:tcW w:w="1890" w:type="dxa"/>
            <w:tcBorders>
              <w:bottom w:val="single" w:sz="4" w:space="0" w:color="C0C0C0"/>
            </w:tcBorders>
          </w:tcPr>
          <w:p>
            <w:pPr>
              <w:pStyle w:val="BodyTextIndent2"/>
              <w:ind w:start="0" w:end="0"/>
              <w:rPr/>
            </w:pPr>
            <w:r>
              <w:rPr/>
              <w:t>September</w:t>
            </w:r>
          </w:p>
        </w:tc>
        <w:tc>
          <w:tcPr>
            <w:tcW w:w="1620" w:type="dxa"/>
            <w:tcBorders>
              <w:bottom w:val="single" w:sz="4" w:space="0" w:color="C0C0C0"/>
              <w:end w:val="single" w:sz="4" w:space="0" w:color="C0C0C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</w:rPr>
            </w:pPr>
            <w:r>
              <w:rPr>
                <w:rFonts w:cs="Tahoma" w:ascii="Tahoma" w:hAnsi="Tahoma"/>
              </w:rPr>
              <w:t>201,037</w:t>
            </w:r>
          </w:p>
        </w:tc>
      </w:tr>
    </w:tbl>
    <w:p>
      <w:pPr>
        <w:pStyle w:val="BodyTextIndent2"/>
        <w:rPr/>
      </w:pPr>
      <w:r>
        <w:rPr/>
      </w:r>
    </w:p>
    <w:p>
      <w:pPr>
        <w:pStyle w:val="BodyTextIndent2"/>
        <w:rPr/>
      </w:pPr>
      <w:r>
        <w:rPr/>
      </w:r>
    </w:p>
    <w:p>
      <w:pPr>
        <w:pStyle w:val="BodyTextIndent2"/>
        <w:rPr/>
      </w:pPr>
      <w:r>
        <w:rPr/>
      </w:r>
    </w:p>
    <w:tbl>
      <w:tblPr>
        <w:tblW w:w="7380" w:type="dxa"/>
        <w:jc w:val="start"/>
        <w:tblInd w:w="46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1710"/>
        <w:gridCol w:w="1890"/>
        <w:gridCol w:w="1620"/>
      </w:tblGrid>
      <w:tr>
        <w:trPr/>
        <w:tc>
          <w:tcPr>
            <w:tcW w:w="7380" w:type="dxa"/>
            <w:gridSpan w:val="4"/>
            <w:tcBorders>
              <w:top w:val="single" w:sz="4" w:space="0" w:color="C0C0C0"/>
              <w:start w:val="single" w:sz="4" w:space="0" w:color="C0C0C0"/>
              <w:end w:val="single" w:sz="4" w:space="0" w:color="C0C0C0"/>
            </w:tcBorders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Forecast Monthly Consumption</w:t>
            </w:r>
          </w:p>
          <w:p>
            <w:pPr>
              <w:pStyle w:val="BodyTextIndent2"/>
              <w:ind w:start="0" w:end="0"/>
              <w:jc w:val="center"/>
              <w:rPr/>
            </w:pPr>
            <w:r>
              <w:rPr/>
              <w:t>December 2001 – November 2002</w:t>
            </w:r>
          </w:p>
        </w:tc>
      </w:tr>
      <w:tr>
        <w:trPr/>
        <w:tc>
          <w:tcPr>
            <w:tcW w:w="2160" w:type="dxa"/>
            <w:tcBorders>
              <w:top w:val="single" w:sz="4" w:space="0" w:color="C0C0C0"/>
              <w:start w:val="single" w:sz="4" w:space="0" w:color="C0C0C0"/>
            </w:tcBorders>
          </w:tcPr>
          <w:p>
            <w:pPr>
              <w:pStyle w:val="BodyTextIndent2"/>
              <w:snapToGrid w:val="false"/>
              <w:ind w:start="0" w:end="0"/>
              <w:jc w:val="center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C0C0C0"/>
            </w:tcBorders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Therms</w:t>
            </w:r>
          </w:p>
        </w:tc>
        <w:tc>
          <w:tcPr>
            <w:tcW w:w="1890" w:type="dxa"/>
            <w:tcBorders>
              <w:top w:val="single" w:sz="4" w:space="0" w:color="C0C0C0"/>
            </w:tcBorders>
          </w:tcPr>
          <w:p>
            <w:pPr>
              <w:pStyle w:val="BodyTextIndent2"/>
              <w:snapToGrid w:val="false"/>
              <w:ind w:start="0" w:end="0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C0C0C0"/>
              <w:end w:val="single" w:sz="4" w:space="0" w:color="C0C0C0"/>
            </w:tcBorders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Therms</w:t>
            </w:r>
          </w:p>
        </w:tc>
      </w:tr>
      <w:tr>
        <w:trPr/>
        <w:tc>
          <w:tcPr>
            <w:tcW w:w="2160" w:type="dxa"/>
            <w:tcBorders>
              <w:start w:val="single" w:sz="4" w:space="0" w:color="C0C0C0"/>
            </w:tcBorders>
          </w:tcPr>
          <w:p>
            <w:pPr>
              <w:pStyle w:val="BodyTextIndent2"/>
              <w:ind w:start="0" w:end="0"/>
              <w:rPr/>
            </w:pPr>
            <w:r>
              <w:rPr/>
              <w:t>December</w:t>
            </w:r>
          </w:p>
        </w:tc>
        <w:tc>
          <w:tcPr>
            <w:tcW w:w="1710" w:type="dxa"/>
            <w:tcBorders/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275,000</w:t>
            </w:r>
          </w:p>
        </w:tc>
        <w:tc>
          <w:tcPr>
            <w:tcW w:w="1890" w:type="dxa"/>
            <w:tcBorders/>
          </w:tcPr>
          <w:p>
            <w:pPr>
              <w:pStyle w:val="BodyTextIndent2"/>
              <w:ind w:start="0" w:end="0"/>
              <w:rPr/>
            </w:pPr>
            <w:r>
              <w:rPr/>
              <w:t>June</w:t>
            </w:r>
          </w:p>
        </w:tc>
        <w:tc>
          <w:tcPr>
            <w:tcW w:w="1620" w:type="dxa"/>
            <w:tcBorders>
              <w:end w:val="single" w:sz="4" w:space="0" w:color="C0C0C0"/>
            </w:tcBorders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205,000</w:t>
            </w:r>
          </w:p>
        </w:tc>
      </w:tr>
      <w:tr>
        <w:trPr/>
        <w:tc>
          <w:tcPr>
            <w:tcW w:w="2160" w:type="dxa"/>
            <w:tcBorders>
              <w:start w:val="single" w:sz="4" w:space="0" w:color="C0C0C0"/>
            </w:tcBorders>
          </w:tcPr>
          <w:p>
            <w:pPr>
              <w:pStyle w:val="BodyTextIndent2"/>
              <w:ind w:start="0" w:end="0"/>
              <w:rPr/>
            </w:pPr>
            <w:r>
              <w:rPr/>
              <w:t>January</w:t>
            </w:r>
          </w:p>
        </w:tc>
        <w:tc>
          <w:tcPr>
            <w:tcW w:w="1710" w:type="dxa"/>
            <w:tcBorders/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285,000</w:t>
            </w:r>
          </w:p>
        </w:tc>
        <w:tc>
          <w:tcPr>
            <w:tcW w:w="1890" w:type="dxa"/>
            <w:tcBorders/>
          </w:tcPr>
          <w:p>
            <w:pPr>
              <w:pStyle w:val="BodyTextIndent2"/>
              <w:ind w:start="0" w:end="0"/>
              <w:rPr/>
            </w:pPr>
            <w:r>
              <w:rPr/>
              <w:t>July</w:t>
            </w:r>
          </w:p>
        </w:tc>
        <w:tc>
          <w:tcPr>
            <w:tcW w:w="1620" w:type="dxa"/>
            <w:tcBorders>
              <w:end w:val="single" w:sz="4" w:space="0" w:color="C0C0C0"/>
            </w:tcBorders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205,000</w:t>
            </w:r>
          </w:p>
        </w:tc>
      </w:tr>
      <w:tr>
        <w:trPr/>
        <w:tc>
          <w:tcPr>
            <w:tcW w:w="2160" w:type="dxa"/>
            <w:tcBorders>
              <w:start w:val="single" w:sz="4" w:space="0" w:color="C0C0C0"/>
            </w:tcBorders>
          </w:tcPr>
          <w:p>
            <w:pPr>
              <w:pStyle w:val="BodyTextIndent2"/>
              <w:ind w:start="0" w:end="0"/>
              <w:rPr/>
            </w:pPr>
            <w:r>
              <w:rPr/>
              <w:t>February</w:t>
            </w:r>
          </w:p>
        </w:tc>
        <w:tc>
          <w:tcPr>
            <w:tcW w:w="1710" w:type="dxa"/>
            <w:tcBorders/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255,000</w:t>
            </w:r>
          </w:p>
        </w:tc>
        <w:tc>
          <w:tcPr>
            <w:tcW w:w="1890" w:type="dxa"/>
            <w:tcBorders/>
          </w:tcPr>
          <w:p>
            <w:pPr>
              <w:pStyle w:val="BodyTextIndent2"/>
              <w:ind w:start="0" w:end="0"/>
              <w:rPr/>
            </w:pPr>
            <w:r>
              <w:rPr/>
              <w:t>August</w:t>
            </w:r>
          </w:p>
        </w:tc>
        <w:tc>
          <w:tcPr>
            <w:tcW w:w="1620" w:type="dxa"/>
            <w:tcBorders>
              <w:end w:val="single" w:sz="4" w:space="0" w:color="C0C0C0"/>
            </w:tcBorders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205,000</w:t>
            </w:r>
          </w:p>
        </w:tc>
      </w:tr>
      <w:tr>
        <w:trPr/>
        <w:tc>
          <w:tcPr>
            <w:tcW w:w="2160" w:type="dxa"/>
            <w:tcBorders>
              <w:start w:val="single" w:sz="4" w:space="0" w:color="C0C0C0"/>
            </w:tcBorders>
          </w:tcPr>
          <w:p>
            <w:pPr>
              <w:pStyle w:val="BodyTextIndent2"/>
              <w:ind w:start="0" w:end="0"/>
              <w:rPr/>
            </w:pPr>
            <w:r>
              <w:rPr/>
              <w:t>March</w:t>
            </w:r>
          </w:p>
        </w:tc>
        <w:tc>
          <w:tcPr>
            <w:tcW w:w="1710" w:type="dxa"/>
            <w:tcBorders/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260,000</w:t>
            </w:r>
          </w:p>
        </w:tc>
        <w:tc>
          <w:tcPr>
            <w:tcW w:w="1890" w:type="dxa"/>
            <w:tcBorders/>
          </w:tcPr>
          <w:p>
            <w:pPr>
              <w:pStyle w:val="BodyTextIndent2"/>
              <w:ind w:start="0" w:end="0"/>
              <w:rPr/>
            </w:pPr>
            <w:r>
              <w:rPr/>
              <w:t>September</w:t>
            </w:r>
          </w:p>
        </w:tc>
        <w:tc>
          <w:tcPr>
            <w:tcW w:w="1620" w:type="dxa"/>
            <w:tcBorders>
              <w:end w:val="single" w:sz="4" w:space="0" w:color="C0C0C0"/>
            </w:tcBorders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200,000</w:t>
            </w:r>
          </w:p>
        </w:tc>
      </w:tr>
      <w:tr>
        <w:trPr/>
        <w:tc>
          <w:tcPr>
            <w:tcW w:w="2160" w:type="dxa"/>
            <w:tcBorders>
              <w:start w:val="single" w:sz="4" w:space="0" w:color="C0C0C0"/>
            </w:tcBorders>
          </w:tcPr>
          <w:p>
            <w:pPr>
              <w:pStyle w:val="BodyTextIndent2"/>
              <w:ind w:start="0" w:end="0"/>
              <w:rPr/>
            </w:pPr>
            <w:r>
              <w:rPr/>
              <w:t>April</w:t>
            </w:r>
          </w:p>
        </w:tc>
        <w:tc>
          <w:tcPr>
            <w:tcW w:w="1710" w:type="dxa"/>
            <w:tcBorders/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245,000</w:t>
            </w:r>
          </w:p>
        </w:tc>
        <w:tc>
          <w:tcPr>
            <w:tcW w:w="1890" w:type="dxa"/>
            <w:tcBorders/>
          </w:tcPr>
          <w:p>
            <w:pPr>
              <w:pStyle w:val="BodyTextIndent2"/>
              <w:ind w:start="0" w:end="0"/>
              <w:rPr/>
            </w:pPr>
            <w:r>
              <w:rPr/>
              <w:t>October</w:t>
            </w:r>
          </w:p>
        </w:tc>
        <w:tc>
          <w:tcPr>
            <w:tcW w:w="1620" w:type="dxa"/>
            <w:tcBorders>
              <w:end w:val="single" w:sz="4" w:space="0" w:color="C0C0C0"/>
            </w:tcBorders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245,000</w:t>
            </w:r>
          </w:p>
        </w:tc>
      </w:tr>
      <w:tr>
        <w:trPr/>
        <w:tc>
          <w:tcPr>
            <w:tcW w:w="2160" w:type="dxa"/>
            <w:tcBorders>
              <w:start w:val="single" w:sz="4" w:space="0" w:color="C0C0C0"/>
              <w:bottom w:val="single" w:sz="4" w:space="0" w:color="C0C0C0"/>
            </w:tcBorders>
          </w:tcPr>
          <w:p>
            <w:pPr>
              <w:pStyle w:val="BodyTextIndent2"/>
              <w:ind w:start="0" w:end="0"/>
              <w:rPr/>
            </w:pPr>
            <w:r>
              <w:rPr/>
              <w:t>May</w:t>
            </w:r>
          </w:p>
        </w:tc>
        <w:tc>
          <w:tcPr>
            <w:tcW w:w="1710" w:type="dxa"/>
            <w:tcBorders>
              <w:bottom w:val="single" w:sz="4" w:space="0" w:color="C0C0C0"/>
            </w:tcBorders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233,000</w:t>
            </w:r>
          </w:p>
        </w:tc>
        <w:tc>
          <w:tcPr>
            <w:tcW w:w="1890" w:type="dxa"/>
            <w:tcBorders>
              <w:bottom w:val="single" w:sz="4" w:space="0" w:color="C0C0C0"/>
            </w:tcBorders>
          </w:tcPr>
          <w:p>
            <w:pPr>
              <w:pStyle w:val="BodyTextIndent2"/>
              <w:ind w:start="0" w:end="0"/>
              <w:rPr/>
            </w:pPr>
            <w:r>
              <w:rPr/>
              <w:t>November</w:t>
            </w:r>
          </w:p>
        </w:tc>
        <w:tc>
          <w:tcPr>
            <w:tcW w:w="1620" w:type="dxa"/>
            <w:tcBorders>
              <w:bottom w:val="single" w:sz="4" w:space="0" w:color="C0C0C0"/>
              <w:end w:val="single" w:sz="4" w:space="0" w:color="C0C0C0"/>
            </w:tcBorders>
          </w:tcPr>
          <w:p>
            <w:pPr>
              <w:pStyle w:val="BodyTextIndent2"/>
              <w:ind w:start="0" w:end="0"/>
              <w:jc w:val="center"/>
              <w:rPr/>
            </w:pPr>
            <w:r>
              <w:rPr/>
              <w:t>265,000</w:t>
            </w:r>
          </w:p>
        </w:tc>
      </w:tr>
    </w:tbl>
    <w:p>
      <w:pPr>
        <w:pStyle w:val="BodyTextIndent2"/>
        <w:rPr/>
      </w:pPr>
      <w:r>
        <w:rPr/>
      </w:r>
    </w:p>
    <w:p>
      <w:pPr>
        <w:pStyle w:val="BodyTextIndent2"/>
        <w:rPr/>
      </w:pPr>
      <w:r>
        <w:rPr/>
      </w:r>
    </w:p>
    <w:p>
      <w:pPr>
        <w:pStyle w:val="BodyTextIndent2"/>
        <w:jc w:val="start"/>
        <w:rPr/>
      </w:pPr>
      <w:r>
        <w:rPr/>
        <w:t>Conexant takes service under Southern California Gas Company (SoCalGas) Rate Schedule GT-F3 under firm priority.  Conexant operates seven days a week and consumes approximately the same amount of gas on weekdays and weekends.</w:t>
      </w:r>
    </w:p>
    <w:p>
      <w:pPr>
        <w:pStyle w:val="BodyTextIndent2"/>
        <w:rPr/>
      </w:pPr>
      <w:r>
        <w:rPr/>
      </w:r>
    </w:p>
    <w:p>
      <w:pPr>
        <w:pStyle w:val="BodyTextIndent2"/>
        <w:rPr/>
      </w:pPr>
      <w:r>
        <w:rPr/>
        <w:t>SoCalGas has assigned Conexant an Order Control Code of R03.</w:t>
      </w:r>
    </w:p>
    <w:p>
      <w:pPr>
        <w:pStyle w:val="BodyTextIndent2"/>
        <w:rPr/>
      </w:pPr>
      <w:r>
        <w:rPr/>
      </w:r>
    </w:p>
    <w:p>
      <w:pPr>
        <w:pStyle w:val="BodyTextIndent2"/>
        <w:rPr/>
      </w:pPr>
      <w:r>
        <w:rPr/>
        <w:t>Conexant has a Long Term Storage Service Agreement with SoCalGas that expires on June 1, 2003.  The contract provides for 6,174 DTH of Firm Inventory to be injected at a firm rate of 206 DTH per day during June and a Firm withdrawal rate of 882 DTH per day.</w:t>
      </w:r>
    </w:p>
    <w:p>
      <w:pPr>
        <w:pStyle w:val="BodyTextIndent2"/>
        <w:rPr>
          <w:sz w:val="24"/>
        </w:rPr>
      </w:pPr>
      <w:r>
        <w:rPr>
          <w:sz w:val="24"/>
        </w:rPr>
      </w:r>
    </w:p>
    <w:p>
      <w:pPr>
        <w:pStyle w:val="BodyTextIndent2"/>
        <w:rPr/>
      </w:pPr>
      <w:r>
        <w:rPr/>
        <w:t>Conexant operates with an invoice and billing cycle of net 45 days from receipt of vendor invoice.  Vendor shall provide Conexant with a written statement by the 15</w:t>
      </w:r>
      <w:r>
        <w:rPr>
          <w:vertAlign w:val="superscript"/>
        </w:rPr>
        <w:t>th</w:t>
      </w:r>
      <w:r>
        <w:rPr/>
        <w:t xml:space="preserve"> of each month covering the preceding month.</w:t>
      </w:r>
    </w:p>
    <w:sectPr>
      <w:footerReference w:type="default" r:id="rId2"/>
      <w:type w:val="nextPage"/>
      <w:pgSz w:w="12240" w:h="15840"/>
      <w:pgMar w:left="1800" w:right="1530" w:gutter="0" w:header="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jc w:val="end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440" w:leader="none"/>
        <w:tab w:val="left" w:pos="5040" w:leader="none"/>
        <w:tab w:val="left" w:pos="7200" w:leader="none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end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Tahoma" w:hAnsi="Tahoma" w:cs="Tahoma"/>
      <w:b/>
      <w:i/>
      <w:iCs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b/>
    </w:rPr>
  </w:style>
  <w:style w:type="character" w:styleId="WW8Num8z0">
    <w:name w:val="WW8Num8z0"/>
    <w:qFormat/>
    <w:rPr>
      <w:b/>
    </w:rPr>
  </w:style>
  <w:style w:type="character" w:styleId="WW8Num9z0">
    <w:name w:val="WW8Num9z0"/>
    <w:qFormat/>
    <w:rPr/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7z0">
    <w:name w:val="WW8Num17z0"/>
    <w:qFormat/>
    <w:rPr>
      <w:b/>
    </w:rPr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1z0">
    <w:name w:val="WW8Num21z0"/>
    <w:qFormat/>
    <w:rPr>
      <w:b/>
    </w:rPr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>
      <w:b/>
    </w:rPr>
  </w:style>
  <w:style w:type="character" w:styleId="WW8Num27z0">
    <w:name w:val="WW8Num27z0"/>
    <w:qFormat/>
    <w:rPr/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/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>
      <w:rFonts w:ascii="Symbol" w:hAnsi="Symbol" w:cs="Symbol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>
      <w:b/>
    </w:rPr>
  </w:style>
  <w:style w:type="character" w:styleId="WW8Num42z0">
    <w:name w:val="WW8Num42z0"/>
    <w:qFormat/>
    <w:rPr>
      <w:b/>
    </w:rPr>
  </w:style>
  <w:style w:type="character" w:styleId="WW8Num43z0">
    <w:name w:val="WW8Num43z0"/>
    <w:qFormat/>
    <w:rPr>
      <w:b/>
    </w:rPr>
  </w:style>
  <w:style w:type="character" w:styleId="WW8NumSt3z0">
    <w:name w:val="WW8NumSt3z0"/>
    <w:qFormat/>
    <w:rPr>
      <w:rFonts w:ascii="Wingdings" w:hAnsi="Wingdings" w:cs="Wingdings"/>
    </w:rPr>
  </w:style>
  <w:style w:type="character" w:styleId="WW8NumSt4z0">
    <w:name w:val="WW8NumSt4z0"/>
    <w:qFormat/>
    <w:rPr>
      <w:rFonts w:ascii="Symbol" w:hAnsi="Symbol" w:cs="Symbol"/>
    </w:rPr>
  </w:style>
  <w:style w:type="character" w:styleId="WW8NumSt6z0">
    <w:name w:val="WW8NumSt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jc w:val="end"/>
    </w:pPr>
    <w:rPr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Continue">
    <w:name w:val="List Continue"/>
    <w:basedOn w:val="Normal"/>
    <w:qFormat/>
    <w:pPr>
      <w:spacing w:before="0" w:after="120"/>
      <w:ind w:hanging="0" w:start="360" w:end="0"/>
    </w:pPr>
    <w:rPr/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21">
    <w:name w:val="List Bullet 21"/>
    <w:basedOn w:val="Normal"/>
    <w:qFormat/>
    <w:pPr>
      <w:numPr>
        <w:ilvl w:val="0"/>
        <w:numId w:val="2"/>
      </w:numPr>
      <w:tabs>
        <w:tab w:val="left" w:pos="720" w:leader="none"/>
      </w:tabs>
      <w:ind w:hanging="360" w:start="720" w:end="0"/>
    </w:pPr>
    <w:rPr/>
  </w:style>
  <w:style w:type="paragraph" w:styleId="BodyTextIndent2">
    <w:name w:val="Body Text Indent 2"/>
    <w:basedOn w:val="Normal"/>
    <w:qFormat/>
    <w:pPr>
      <w:numPr>
        <w:ilvl w:val="0"/>
        <w:numId w:val="0"/>
      </w:numPr>
      <w:ind w:hanging="0" w:start="360" w:end="0"/>
      <w:jc w:val="both"/>
    </w:pPr>
    <w:rPr>
      <w:rFonts w:ascii="Tahoma" w:hAnsi="Tahoma" w:cs="Tahoma"/>
    </w:rPr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Bullet4">
    <w:name w:val="List Bullet 4"/>
    <w:basedOn w:val="Normal"/>
    <w:pPr>
      <w:ind w:hanging="360" w:start="1440" w:end="0"/>
    </w:pPr>
    <w:rPr/>
  </w:style>
  <w:style w:type="paragraph" w:styleId="ListBullet5">
    <w:name w:val="List Bullet 5"/>
    <w:basedOn w:val="Normal"/>
    <w:pPr>
      <w:ind w:hanging="360" w:start="1800" w:end="0"/>
    </w:pPr>
    <w:rPr/>
  </w:style>
  <w:style w:type="paragraph" w:styleId="ListContinue4">
    <w:name w:val="List Continue 4"/>
    <w:basedOn w:val="Normal"/>
    <w:qFormat/>
    <w:pPr>
      <w:spacing w:before="0" w:after="120"/>
      <w:ind w:hanging="0" w:start="1440" w:end="0"/>
    </w:pPr>
    <w:rPr/>
  </w:style>
  <w:style w:type="paragraph" w:styleId="ListBullet51">
    <w:name w:val="List Bullet 51"/>
    <w:basedOn w:val="Normal"/>
    <w:qFormat/>
    <w:pPr>
      <w:numPr>
        <w:ilvl w:val="0"/>
        <w:numId w:val="3"/>
      </w:numPr>
      <w:tabs>
        <w:tab w:val="clear" w:pos="720"/>
        <w:tab w:val="left" w:pos="1800" w:leader="none"/>
      </w:tabs>
      <w:ind w:hanging="360" w:start="1800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080" w:end="0"/>
    </w:pPr>
    <w:rPr/>
  </w:style>
  <w:style w:type="paragraph" w:styleId="BodyText2">
    <w:name w:val="Body Text 2"/>
    <w:basedOn w:val="Normal"/>
    <w:qFormat/>
    <w:pPr>
      <w:spacing w:before="0" w:after="120"/>
      <w:ind w:hanging="0" w:start="360" w:end="0"/>
    </w:pPr>
    <w:rPr/>
  </w:style>
  <w:style w:type="paragraph" w:styleId="BodyTextIndent">
    <w:name w:val="Body Text Indent"/>
    <w:basedOn w:val="Normal"/>
    <w:pPr>
      <w:ind w:hanging="0" w:start="1440" w:end="0"/>
      <w:jc w:val="both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3">
    <w:name w:val="Body Text Indent 3"/>
    <w:basedOn w:val="Normal"/>
    <w:qFormat/>
    <w:pPr>
      <w:ind w:hanging="0" w:start="1440" w:end="0"/>
    </w:pPr>
    <w:rPr>
      <w:rFonts w:ascii="Tahoma" w:hAnsi="Tahoma" w:cs="Tahoma"/>
    </w:rPr>
  </w:style>
  <w:style w:type="paragraph" w:styleId="Standard">
    <w:name w:val="Standard"/>
    <w:basedOn w:val="Normal"/>
    <w:qFormat/>
    <w:pPr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</w:tabs>
      <w:spacing w:before="220" w:after="0"/>
    </w:pPr>
    <w:rPr>
      <w:sz w:val="24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2001-11-14T20:24:00Z</dcterms:created>
  <dc:creator>cmk</dc:creator>
  <dc:description/>
  <dc:language>en-CA</dc:language>
  <cp:lastModifiedBy>normanjr</cp:lastModifiedBy>
  <cp:lastPrinted>2001-07-11T15:03:00Z</cp:lastPrinted>
  <dcterms:modified xsi:type="dcterms:W3CDTF">2001-11-14T20:24:00Z</dcterms:modified>
  <cp:revision>2</cp:revision>
  <dc:subject/>
  <dc:title>Request for Proposal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1759072826</vt:r8>
  </property>
  <property fmtid="{D5CDD505-2E9C-101B-9397-08002B2CF9AE}" pid="3" name="_AuthorEmail">
    <vt:lpwstr>kjsimonsen@ems-ca.com</vt:lpwstr>
  </property>
  <property fmtid="{D5CDD505-2E9C-101B-9397-08002B2CF9AE}" pid="4" name="_AuthorEmailDisplayName">
    <vt:lpwstr>Kevin J. Simonsen</vt:lpwstr>
  </property>
  <property fmtid="{D5CDD505-2E9C-101B-9397-08002B2CF9AE}" pid="5" name="_EmailSubject">
    <vt:lpwstr>Natural Gas RFP Forecast for December 2001 - November 2002</vt:lpwstr>
  </property>
</Properties>
</file>