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60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7.0</w:t>
        <w:tab/>
        <w:t>Conexant Information TO Follow</w:t>
      </w:r>
    </w:p>
    <w:p>
      <w:pPr>
        <w:pStyle w:val="ListBullet21"/>
        <w:numPr>
          <w:ilvl w:val="0"/>
          <w:numId w:val="0"/>
        </w:numPr>
        <w:tabs>
          <w:tab w:val="clear" w:pos="720"/>
        </w:tabs>
        <w:ind w:hanging="0" w:start="1440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tbl>
      <w:tblPr>
        <w:tblW w:w="738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710"/>
        <w:gridCol w:w="1890"/>
        <w:gridCol w:w="1620"/>
      </w:tblGrid>
      <w:tr>
        <w:trPr/>
        <w:tc>
          <w:tcPr>
            <w:tcW w:w="7380" w:type="dxa"/>
            <w:gridSpan w:val="4"/>
            <w:tcBorders>
              <w:top w:val="single" w:sz="4" w:space="0" w:color="C0C0C0"/>
              <w:start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Historical Monthly Consumption</w:t>
            </w:r>
          </w:p>
          <w:p>
            <w:pPr>
              <w:pStyle w:val="BodyTextIndent2"/>
              <w:ind w:start="0" w:end="0"/>
              <w:jc w:val="center"/>
              <w:rPr/>
            </w:pPr>
            <w:r>
              <w:rPr/>
              <w:t>October 2000 – September 2001</w:t>
            </w:r>
          </w:p>
        </w:tc>
      </w:tr>
      <w:tr>
        <w:trPr/>
        <w:tc>
          <w:tcPr>
            <w:tcW w:w="2160" w:type="dxa"/>
            <w:tcBorders>
              <w:top w:val="single" w:sz="4" w:space="0" w:color="C0C0C0"/>
              <w:start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  <w:tc>
          <w:tcPr>
            <w:tcW w:w="1890" w:type="dxa"/>
            <w:tcBorders>
              <w:top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October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245,260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April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244,330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November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262,251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May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232,920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December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272,129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June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204,360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January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282,983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July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203,970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February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252,099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August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203,370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March</w:t>
            </w:r>
          </w:p>
        </w:tc>
        <w:tc>
          <w:tcPr>
            <w:tcW w:w="1710" w:type="dxa"/>
            <w:tcBorders>
              <w:bottom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259,030</w:t>
            </w:r>
          </w:p>
        </w:tc>
        <w:tc>
          <w:tcPr>
            <w:tcW w:w="1890" w:type="dxa"/>
            <w:tcBorders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September</w:t>
            </w:r>
          </w:p>
        </w:tc>
        <w:tc>
          <w:tcPr>
            <w:tcW w:w="1620" w:type="dxa"/>
            <w:tcBorders>
              <w:bottom w:val="single" w:sz="4" w:space="0" w:color="C0C0C0"/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201,037</w:t>
            </w:r>
          </w:p>
        </w:tc>
      </w:tr>
    </w:tbl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tbl>
      <w:tblPr>
        <w:tblW w:w="738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710"/>
        <w:gridCol w:w="1890"/>
        <w:gridCol w:w="1620"/>
      </w:tblGrid>
      <w:tr>
        <w:trPr/>
        <w:tc>
          <w:tcPr>
            <w:tcW w:w="7380" w:type="dxa"/>
            <w:gridSpan w:val="4"/>
            <w:tcBorders>
              <w:top w:val="single" w:sz="4" w:space="0" w:color="C0C0C0"/>
              <w:start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Forecast Monthly Consumption</w:t>
            </w:r>
          </w:p>
          <w:p>
            <w:pPr>
              <w:pStyle w:val="BodyTextIndent2"/>
              <w:ind w:start="0" w:end="0"/>
              <w:jc w:val="center"/>
              <w:rPr/>
            </w:pPr>
            <w:r>
              <w:rPr/>
              <w:t>December 2001 – November 2002</w:t>
            </w:r>
          </w:p>
        </w:tc>
      </w:tr>
      <w:tr>
        <w:trPr/>
        <w:tc>
          <w:tcPr>
            <w:tcW w:w="2160" w:type="dxa"/>
            <w:tcBorders>
              <w:top w:val="single" w:sz="4" w:space="0" w:color="C0C0C0"/>
              <w:start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  <w:tc>
          <w:tcPr>
            <w:tcW w:w="1890" w:type="dxa"/>
            <w:tcBorders>
              <w:top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December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275,000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June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January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285,000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July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February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255,000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August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March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260,000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September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200,000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April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245,000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October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245,000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May</w:t>
            </w:r>
          </w:p>
        </w:tc>
        <w:tc>
          <w:tcPr>
            <w:tcW w:w="1710" w:type="dxa"/>
            <w:tcBorders>
              <w:bottom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233,000</w:t>
            </w:r>
          </w:p>
        </w:tc>
        <w:tc>
          <w:tcPr>
            <w:tcW w:w="1890" w:type="dxa"/>
            <w:tcBorders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November</w:t>
            </w:r>
          </w:p>
        </w:tc>
        <w:tc>
          <w:tcPr>
            <w:tcW w:w="1620" w:type="dxa"/>
            <w:tcBorders>
              <w:bottom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265,000</w:t>
            </w:r>
          </w:p>
        </w:tc>
      </w:tr>
    </w:tbl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jc w:val="start"/>
        <w:rPr/>
      </w:pPr>
      <w:r>
        <w:rPr/>
        <w:t>Conexant takes service under Southern California Gas Company (SoCalGas) Rate Schedule GT-F3 under firm priority.  Conexant operates seven days a week and consumes approximately the same amount of gas on weekdays and weekends.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SoCalGas has assigned Conexant an Order Control Code of R03.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Conexant has a Long Term Storage Service Agreement with SoCalGas that expires on June 1, 2003.  The contract provides for 6,174 DTH of Firm Inventory to be injected at a firm rate of 206 DTH per day during June and a Firm withdrawal rate of 882 DTH per day.</w:t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Conexant operates with an invoice and billing cycle of net 45 days from receipt of vendor invoice.  Vendor shall provide Conexant with a written statement by the 15</w:t>
      </w:r>
      <w:r>
        <w:rPr>
          <w:vertAlign w:val="superscript"/>
        </w:rPr>
        <w:t>th</w:t>
      </w:r>
      <w:r>
        <w:rPr/>
        <w:t xml:space="preserve"> of each month covering the preceding month.</w:t>
      </w:r>
    </w:p>
    <w:sectPr>
      <w:footerReference w:type="default" r:id="rId2"/>
      <w:type w:val="nextPage"/>
      <w:pgSz w:w="12240" w:h="15840"/>
      <w:pgMar w:left="1800" w:right="153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440" w:leader="none"/>
        <w:tab w:val="left" w:pos="5040" w:leader="none"/>
        <w:tab w:val="left" w:pos="7200" w:leader="none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Tahoma" w:hAnsi="Tahoma" w:cs="Tahoma"/>
      <w:b/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>
      <w:b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b/>
    </w:rPr>
  </w:style>
  <w:style w:type="character" w:styleId="WW8Num42z0">
    <w:name w:val="WW8Num42z0"/>
    <w:qFormat/>
    <w:rPr>
      <w:b/>
    </w:rPr>
  </w:style>
  <w:style w:type="character" w:styleId="WW8Num43z0">
    <w:name w:val="WW8Num43z0"/>
    <w:qFormat/>
    <w:rPr>
      <w:b/>
    </w:rPr>
  </w:style>
  <w:style w:type="character" w:styleId="WW8NumSt3z0">
    <w:name w:val="WW8NumSt3z0"/>
    <w:qFormat/>
    <w:rPr>
      <w:rFonts w:ascii="Wingdings" w:hAnsi="Wingdings" w:cs="Wingdings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end"/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21">
    <w:name w:val="List Bullet 21"/>
    <w:basedOn w:val="Normal"/>
    <w:qFormat/>
    <w:pPr>
      <w:numPr>
        <w:ilvl w:val="0"/>
        <w:numId w:val="2"/>
      </w:numPr>
      <w:tabs>
        <w:tab w:val="left" w:pos="720" w:leader="none"/>
      </w:tabs>
      <w:ind w:hanging="360" w:start="720" w:end="0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ind w:hanging="0" w:start="360" w:end="0"/>
      <w:jc w:val="both"/>
    </w:pPr>
    <w:rPr>
      <w:rFonts w:ascii="Tahoma" w:hAnsi="Tahoma" w:cs="Tahoma"/>
    </w:rPr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Bullet51">
    <w:name w:val="List Bullet 51"/>
    <w:basedOn w:val="Normal"/>
    <w:qFormat/>
    <w:pPr>
      <w:numPr>
        <w:ilvl w:val="0"/>
        <w:numId w:val="3"/>
      </w:numPr>
      <w:tabs>
        <w:tab w:val="clear" w:pos="720"/>
        <w:tab w:val="left" w:pos="1800" w:leader="none"/>
      </w:tabs>
      <w:ind w:hanging="360" w:start="180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BodyTextIndent">
    <w:name w:val="Body Text Indent"/>
    <w:basedOn w:val="Normal"/>
    <w:pPr>
      <w:ind w:hanging="0" w:start="1440" w:end="0"/>
      <w:jc w:val="both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1440" w:end="0"/>
    </w:pPr>
    <w:rPr>
      <w:rFonts w:ascii="Tahoma" w:hAnsi="Tahoma" w:cs="Tahoma"/>
    </w:rPr>
  </w:style>
  <w:style w:type="paragraph" w:styleId="Standard">
    <w:name w:val="Standard"/>
    <w:basedOn w:val="Normal"/>
    <w:qFormat/>
    <w:pPr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</w:tabs>
      <w:spacing w:before="220" w:after="0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2001-11-15T12:33:00Z</dcterms:created>
  <dc:creator>cmk</dc:creator>
  <dc:description/>
  <dc:language>en-CA</dc:language>
  <cp:lastModifiedBy>kward</cp:lastModifiedBy>
  <cp:lastPrinted>2001-11-15T09:02:00Z</cp:lastPrinted>
  <dcterms:modified xsi:type="dcterms:W3CDTF">2001-11-15T12:33:00Z</dcterms:modified>
  <cp:revision>2</cp:revision>
  <dc:subject/>
  <dc:title>Request for Proposal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1759072826</vt:r8>
  </property>
  <property fmtid="{D5CDD505-2E9C-101B-9397-08002B2CF9AE}" pid="3" name="_AuthorEmail">
    <vt:lpwstr>kjsimonsen@ems-ca.com</vt:lpwstr>
  </property>
  <property fmtid="{D5CDD505-2E9C-101B-9397-08002B2CF9AE}" pid="4" name="_AuthorEmailDisplayName">
    <vt:lpwstr>Kevin J. Simonsen</vt:lpwstr>
  </property>
  <property fmtid="{D5CDD505-2E9C-101B-9397-08002B2CF9AE}" pid="5" name="_EmailSubject">
    <vt:lpwstr>Natural Gas RFP Forecast for December 2001 - November 2002</vt:lpwstr>
  </property>
</Properties>
</file>