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720"/>
        <w:rPr>
          <w:rStyle w:val="LetterDate"/>
        </w:rPr>
      </w:pPr>
      <w:r>
        <w:rPr>
          <w:rStyle w:val="LetterDate"/>
          <w:lang w:val="en-CA"/>
        </w:rPr>
        <w:t>January 22, 2001</w:t>
      </w:r>
    </w:p>
    <w:p>
      <w:pPr>
        <w:pStyle w:val="Address"/>
        <w:rPr/>
      </w:pPr>
      <w:r>
        <w:rPr/>
        <w:t>Docket Office</w:t>
      </w:r>
    </w:p>
    <w:p>
      <w:pPr>
        <w:pStyle w:val="Address"/>
        <w:rPr/>
      </w:pPr>
      <w:r>
        <w:rPr/>
        <w:t>California Public Utilities Commission</w:t>
      </w:r>
    </w:p>
    <w:p>
      <w:pPr>
        <w:pStyle w:val="Address"/>
        <w:rPr/>
      </w:pPr>
      <w:r>
        <w:rPr/>
        <w:t>505 South Van Ness Avenue, Room 2001</w:t>
      </w:r>
    </w:p>
    <w:p>
      <w:pPr>
        <w:pStyle w:val="Address"/>
        <w:rPr/>
      </w:pPr>
      <w:r>
        <w:rPr/>
        <w:t>San Francisco, CA 94102</w:t>
      </w:r>
    </w:p>
    <w:p>
      <w:pPr>
        <w:pStyle w:val="Address"/>
        <w:rPr/>
      </w:pPr>
      <w:r>
        <w:rPr/>
      </w:r>
    </w:p>
    <w:p>
      <w:pPr>
        <w:pStyle w:val="Normal"/>
        <w:ind w:hanging="810" w:start="810" w:end="0"/>
        <w:rPr/>
      </w:pPr>
      <w:r>
        <w:rPr/>
        <w:t>Re:</w:t>
        <w:tab/>
        <w:t xml:space="preserve">Application No. 00-10-029 -  Second Expedited Petition to Modify Decision No. 00-12-064 and Authorization under Section 851on an Emergency Basis, and </w:t>
      </w:r>
      <w:r>
        <w:rPr>
          <w:u w:val="single"/>
        </w:rPr>
        <w:t>Motion for Expedited Decision and Order Shortening Time</w:t>
        <w:tab/>
        <w:tab/>
        <w:tab/>
      </w:r>
      <w:r>
        <w:rPr>
          <w:b/>
          <w:bCs/>
        </w:rPr>
        <w:t xml:space="preserve"> </w:t>
      </w:r>
    </w:p>
    <w:p>
      <w:pPr>
        <w:pStyle w:val="Normal"/>
        <w:rPr>
          <w:b/>
          <w:bCs/>
        </w:rPr>
      </w:pPr>
      <w:r>
        <w:rPr>
          <w:b/>
          <w:bCs/>
        </w:rPr>
      </w:r>
    </w:p>
    <w:p>
      <w:pPr>
        <w:pStyle w:val="Normal"/>
        <w:rPr>
          <w:b/>
          <w:bCs/>
        </w:rPr>
      </w:pPr>
      <w:r>
        <w:rPr>
          <w:b/>
          <w:bCs/>
        </w:rPr>
      </w:r>
    </w:p>
    <w:p>
      <w:pPr>
        <w:pStyle w:val="BodyText"/>
        <w:rPr/>
      </w:pPr>
      <w:r>
        <w:rPr/>
        <w:t>Dear Docket Clerk:</w:t>
      </w:r>
    </w:p>
    <w:p>
      <w:pPr>
        <w:pStyle w:val="BodyText"/>
        <w:rPr/>
      </w:pPr>
      <w:r>
        <w:rPr/>
      </w:r>
    </w:p>
    <w:p>
      <w:pPr>
        <w:pStyle w:val="BodyText"/>
        <w:rPr/>
      </w:pPr>
      <w:r>
        <w:rPr/>
        <w:t xml:space="preserve">Enclosed please find the originals and eight copies each of the Second Expedited Petition for Modification of Decision No. 00-12-064 and Authorization Under Section 851 on an Emergency Basis, and the accompanying Motion for Expedited Decision and Order Shortening Time.  </w:t>
      </w:r>
    </w:p>
    <w:p>
      <w:pPr>
        <w:pStyle w:val="BodyText"/>
        <w:rPr/>
      </w:pPr>
      <w:r>
        <w:rPr/>
      </w:r>
    </w:p>
    <w:p>
      <w:pPr>
        <w:pStyle w:val="BodyText"/>
        <w:rPr/>
      </w:pPr>
      <w:r>
        <w:rPr/>
        <w:t xml:space="preserve">The Petition seeks immediate authorization for PG&amp;E to use its customer account receivables and customer accounts to provide a security interest for purposes of PG&amp;E’s core gas purchases and acquisition.  As outlined in PG&amp;E’s January 18, 2001 Emergency Application for an Immediate Finding of a Gas Supply Emergency and an Order Directing Southern California Gas Company to Provide Mutual Aid, and the United States Secretary of Energy’s January 19, 2001, Temporary Emergency Natural Gas Purchase and Sale Order, a natural gas supply emergency exists in the northern and central regions of California which endangers continued supply of natural gas to high-priority users, and for the generation of electric power.  </w:t>
      </w:r>
    </w:p>
    <w:p>
      <w:pPr>
        <w:pStyle w:val="BodyText"/>
        <w:rPr/>
      </w:pPr>
      <w:r>
        <w:rPr/>
      </w:r>
    </w:p>
    <w:p>
      <w:pPr>
        <w:pStyle w:val="BodyText"/>
        <w:rPr/>
      </w:pPr>
      <w:r>
        <w:rPr/>
        <w:t xml:space="preserve">The gas emergency has arisen because gas suppliers are no longer willing to continue selling gas to PG&amp;E and incurring the resulting financial exposure arising from the extreme deterioration in PG&amp;E’s financial health from the wholesale electric crisis.  PG&amp;E has determined that some gas suppliers’ financial concerns would be allayed if PG&amp;E’s payments for their gas could be secured with a security interest in PG&amp;E’s customer accounts receivables.  Therefore to keep core gas flowing this week, next week, next month and for as long as the wholesale electric crisis continues, PG&amp;E is requesting </w:t>
      </w:r>
      <w:r>
        <w:rPr>
          <w:u w:val="single"/>
        </w:rPr>
        <w:t>immediate</w:t>
      </w:r>
      <w:r>
        <w:rPr/>
        <w:t xml:space="preserve"> authorization to use its customer account receivables and customer accounts to secure payment for its core gas purchases.</w:t>
      </w:r>
    </w:p>
    <w:p>
      <w:pPr>
        <w:pStyle w:val="BodyText"/>
        <w:rPr/>
      </w:pPr>
      <w:r>
        <w:rPr/>
      </w:r>
    </w:p>
    <w:p>
      <w:pPr>
        <w:pStyle w:val="BodyText"/>
        <w:rPr/>
      </w:pPr>
      <w:r>
        <w:rPr/>
        <w:t>After the documents have been filed, please place filed-stamped copies in the pick-up box at your counter.</w:t>
      </w:r>
    </w:p>
    <w:p>
      <w:pPr>
        <w:pStyle w:val="BodyText"/>
        <w:rPr/>
      </w:pPr>
      <w:r>
        <w:rPr/>
      </w:r>
    </w:p>
    <w:p>
      <w:pPr>
        <w:pStyle w:val="BodyText"/>
        <w:rPr/>
      </w:pPr>
      <w:r>
        <w:rPr/>
      </w:r>
    </w:p>
    <w:p>
      <w:pPr>
        <w:pStyle w:val="Normal"/>
        <w:rPr/>
      </w:pPr>
      <w:r>
        <w:rPr/>
        <w:t>Very truly yours,</w:t>
      </w:r>
    </w:p>
    <w:p>
      <w:pPr>
        <w:pStyle w:val="Normal"/>
        <w:rPr/>
      </w:pPr>
      <w:r>
        <w:rPr/>
      </w:r>
    </w:p>
    <w:p>
      <w:pPr>
        <w:pStyle w:val="Normal"/>
        <w:rPr/>
      </w:pPr>
      <w:r>
        <w:rPr/>
      </w:r>
    </w:p>
    <w:p>
      <w:pPr>
        <w:pStyle w:val="Normal"/>
        <w:rPr/>
      </w:pPr>
      <w:r>
        <w:rPr/>
        <w:t>/S/ Shirley A. Woo</w:t>
      </w:r>
    </w:p>
    <w:p>
      <w:pPr>
        <w:pStyle w:val="Normal"/>
        <w:rPr/>
      </w:pPr>
      <w:r>
        <w:rPr/>
        <w:t>Shirley A. Woo</w:t>
      </w:r>
    </w:p>
    <w:p>
      <w:pPr>
        <w:pStyle w:val="Normal"/>
        <w:rPr/>
      </w:pPr>
      <w:r>
        <w:rPr/>
      </w:r>
    </w:p>
    <w:p>
      <w:pPr>
        <w:pStyle w:val="Normal"/>
        <w:rPr/>
      </w:pPr>
      <w:bookmarkStart w:id="0" w:name="InitialsLine"/>
      <w:bookmarkEnd w:id="0"/>
      <w:r>
        <w:rPr/>
        <w:t>SAW</w:t>
      </w:r>
    </w:p>
    <w:p>
      <w:pPr>
        <w:pStyle w:val="Normal"/>
        <w:rPr/>
      </w:pPr>
      <w:r>
        <w:rPr/>
      </w:r>
    </w:p>
    <w:p>
      <w:pPr>
        <w:pStyle w:val="Normal"/>
        <w:rPr/>
      </w:pPr>
      <w:r>
        <w:rPr/>
        <w:t>cc:</w:t>
        <w:tab/>
        <w:t>President Loretta Lynch</w:t>
      </w:r>
    </w:p>
    <w:p>
      <w:pPr>
        <w:pStyle w:val="Normal"/>
        <w:rPr/>
      </w:pPr>
      <w:r>
        <w:rPr/>
        <w:tab/>
        <w:t>Commissioner Richard A. Bilas</w:t>
      </w:r>
    </w:p>
    <w:p>
      <w:pPr>
        <w:pStyle w:val="Normal"/>
        <w:rPr/>
      </w:pPr>
      <w:r>
        <w:rPr/>
        <w:tab/>
        <w:t>Commissioner Carl W. Wood</w:t>
      </w:r>
    </w:p>
    <w:p>
      <w:pPr>
        <w:pStyle w:val="Normal"/>
        <w:rPr/>
      </w:pPr>
      <w:r>
        <w:rPr/>
        <w:tab/>
        <w:t>Commissioner Henry M. Duque</w:t>
      </w:r>
    </w:p>
    <w:p>
      <w:pPr>
        <w:pStyle w:val="Normal"/>
        <w:rPr/>
      </w:pPr>
      <w:r>
        <w:rPr/>
        <w:tab/>
        <w:t>Commissioner Geoffrey Brown</w:t>
      </w:r>
    </w:p>
    <w:p>
      <w:pPr>
        <w:pStyle w:val="Normal"/>
        <w:rPr/>
      </w:pPr>
      <w:r>
        <w:rPr/>
        <w:tab/>
        <w:t>ALJ Timothy Kenney</w:t>
      </w:r>
    </w:p>
    <w:p>
      <w:pPr>
        <w:pStyle w:val="Normal"/>
        <w:rPr/>
      </w:pPr>
      <w:r>
        <w:rPr/>
        <w:tab/>
        <w:t>Paul Clanon</w:t>
      </w:r>
    </w:p>
    <w:p>
      <w:pPr>
        <w:pStyle w:val="Normal"/>
        <w:rPr/>
      </w:pPr>
      <w:r>
        <w:rPr/>
        <w:tab/>
        <w:t>All Parties of Record in A. 00-10-029</w:t>
      </w:r>
    </w:p>
    <w:p>
      <w:pPr>
        <w:pStyle w:val="Normal"/>
        <w:rPr/>
      </w:pPr>
      <w:r>
        <w:rPr/>
      </w:r>
    </w:p>
    <w:p>
      <w:pPr>
        <w:pStyle w:val="Normal"/>
        <w:rPr/>
      </w:pPr>
      <w:r>
        <w:rPr/>
        <w:t>Enclosures</w:t>
      </w:r>
    </w:p>
    <w:p>
      <w:pPr>
        <w:pStyle w:val="Normal"/>
        <w:rPr/>
      </w:pPr>
      <w:r>
        <w:rPr/>
      </w:r>
    </w:p>
    <w:sectPr>
      <w:headerReference w:type="default" r:id="rId2"/>
      <w:headerReference w:type="first" r:id="rId3"/>
      <w:type w:val="nextPage"/>
      <w:pgSz w:w="12240" w:h="15840"/>
      <w:pgMar w:left="2160" w:right="1440" w:gutter="0" w:header="1440" w:top="2808" w:footer="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Sir/Madam</w:t>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8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LetterDate">
    <w:name w:val="LetterDate"/>
    <w:basedOn w:val="DefaultParagraphFont"/>
    <w:qFormat/>
    <w:rPr>
      <w:rFonts w:ascii="Times New Roman" w:hAnsi="Times New Roman" w:eastAsia="Times New Roman" w:cs="Times New Roman"/>
      <w:color w:val="auto"/>
      <w:spacing w:val="0"/>
      <w:kern w:val="0"/>
      <w:position w:val="0"/>
      <w:sz w:val="24"/>
      <w:sz w:val="24"/>
      <w:szCs w:val="24"/>
      <w:u w:val="none"/>
      <w:vertAlign w:val="baseline"/>
    </w:rPr>
  </w:style>
  <w:style w:type="character" w:styleId="FootnoteCharacters">
    <w:name w:val="Footnote Characters"/>
    <w:basedOn w:val="DefaultParagraphFont"/>
    <w:qFormat/>
    <w:rPr>
      <w:spacing w:val="0"/>
      <w:kern w:val="0"/>
      <w:u w:val="single"/>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ddress">
    <w:name w:val="Address"/>
    <w:basedOn w:val="Normal"/>
    <w:qFormat/>
    <w:pPr/>
    <w:rPr/>
  </w:style>
  <w:style w:type="paragraph" w:styleId="EnvelopeAddress">
    <w:name w:val="envelope address"/>
    <w:basedOn w:val="Normal"/>
    <w:pPr/>
    <w:rPr/>
  </w:style>
  <w:style w:type="paragraph" w:styleId="LetterClosing">
    <w:name w:val="LetterClosing"/>
    <w:basedOn w:val="Normal"/>
    <w:next w:val="Normal"/>
    <w:qFormat/>
    <w:pPr>
      <w:ind w:hanging="0" w:start="4493" w:end="-360"/>
    </w:pPr>
    <w:rPr/>
  </w:style>
  <w:style w:type="paragraph" w:styleId="PleadingSignature">
    <w:name w:val="Pleading Signature"/>
    <w:basedOn w:val="Normal"/>
    <w:qFormat/>
    <w:pPr>
      <w:tabs>
        <w:tab w:val="clear" w:pos="720"/>
        <w:tab w:val="left" w:pos="4867" w:leader="none"/>
        <w:tab w:val="right" w:pos="9000" w:leader="none"/>
      </w:tabs>
      <w:ind w:hanging="4867" w:start="4867" w:end="0"/>
    </w:pPr>
    <w:rPr/>
  </w:style>
  <w:style w:type="paragraph" w:styleId="ReLine">
    <w:name w:val="ReLine"/>
    <w:basedOn w:val="Normal"/>
    <w:next w:val="BodyText"/>
    <w:qFormat/>
    <w:pPr>
      <w:spacing w:before="240" w:after="240"/>
      <w:ind w:hanging="720" w:start="720" w:end="0"/>
    </w:pPr>
    <w:rPr/>
  </w:style>
  <w:style w:type="paragraph" w:styleId="FootnoteText">
    <w:name w:val="footnote text"/>
    <w:basedOn w:val="Normal"/>
    <w:pPr>
      <w:tabs>
        <w:tab w:val="clear" w:pos="720"/>
        <w:tab w:val="left" w:pos="432" w:leader="none"/>
      </w:tabs>
      <w:spacing w:before="0" w:after="120"/>
      <w:ind w:hanging="446" w:start="446"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pPr>
    <w:rPr/>
  </w:style>
  <w:style w:type="paragraph" w:styleId="Header">
    <w:name w:val="header"/>
    <w:basedOn w:val="Normal"/>
    <w:pPr>
      <w:widowControl w:val="false"/>
      <w:tabs>
        <w:tab w:val="clear" w:pos="720"/>
        <w:tab w:val="center" w:pos="4680" w:leader="none"/>
        <w:tab w:val="right" w:pos="9360" w:leader="none"/>
      </w:tabs>
    </w:pPr>
    <w:rPr/>
  </w:style>
  <w:style w:type="paragraph" w:styleId="LetterSignature">
    <w:name w:val="Letter Signature"/>
    <w:basedOn w:val="Normal"/>
    <w:qFormat/>
    <w:pPr>
      <w:tabs>
        <w:tab w:val="clear" w:pos="720"/>
        <w:tab w:val="left" w:pos="4680" w:leader="none"/>
        <w:tab w:val="right" w:pos="9000" w:leader="none"/>
      </w:tabs>
      <w:ind w:hanging="0" w:start="4320" w:end="0"/>
    </w:pPr>
    <w:rPr/>
  </w:style>
  <w:style w:type="paragraph" w:styleId="DatePosition">
    <w:name w:val="DatePosition"/>
    <w:basedOn w:val="Normal"/>
    <w:next w:val="Normal"/>
    <w:qFormat/>
    <w:pPr>
      <w:tabs>
        <w:tab w:val="clear" w:pos="720"/>
        <w:tab w:val="center" w:pos="7830" w:leader="none"/>
      </w:tabs>
    </w:pPr>
    <w:rPr/>
  </w:style>
  <w:style w:type="paragraph" w:styleId="EnvelopeAddress1">
    <w:name w:val="Envelope Address1"/>
    <w:basedOn w:val="Normal"/>
    <w:qFormat/>
    <w:pPr>
      <w:ind w:hanging="0" w:start="2880" w:end="0"/>
    </w:pPr>
    <w:rPr/>
  </w:style>
  <w:style w:type="paragraph" w:styleId="SDP">
    <w:name w:val="SDP"/>
    <w:basedOn w:val="Normal"/>
    <w:qFormat/>
    <w:pPr>
      <w:jc w:val="center"/>
    </w:pPr>
    <w:rPr>
      <w:b/>
      <w:bCs/>
    </w:rPr>
  </w:style>
  <w:style w:type="paragraph" w:styleId="Quote-5inch">
    <w:name w:val="Quote - .5 inch"/>
    <w:basedOn w:val="Normal"/>
    <w:next w:val="Normal"/>
    <w:qFormat/>
    <w:pPr>
      <w:spacing w:before="240" w:after="0"/>
      <w:ind w:hanging="0" w:start="720" w:end="720"/>
    </w:pPr>
    <w:rPr/>
  </w:style>
  <w:style w:type="paragraph" w:styleId="Quote-1inch">
    <w:name w:val="Quote - 1 inch"/>
    <w:basedOn w:val="Normal"/>
    <w:next w:val="Normal"/>
    <w:qFormat/>
    <w:pPr>
      <w:spacing w:before="240" w:after="0"/>
      <w:ind w:hanging="0" w:start="1440" w:end="1440"/>
    </w:pPr>
    <w:rPr/>
  </w:style>
  <w:style w:type="paragraph" w:styleId="SDP2">
    <w:name w:val="SDP2"/>
    <w:basedOn w:val="SDP"/>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2001-01-22T19:28:00Z</dcterms:created>
  <dc:creator>Pam Dawson</dc:creator>
  <dc:description/>
  <dc:language>en-CA</dc:language>
  <cp:lastModifiedBy>Pam Dawson</cp:lastModifiedBy>
  <cp:lastPrinted>2001-01-22T14:52:00Z</cp:lastPrinted>
  <dcterms:modified xsi:type="dcterms:W3CDTF">2001-01-22T21:37:00Z</dcterms:modified>
  <cp:revision>10</cp:revision>
  <dc:subject>MacPac Templates</dc:subject>
  <dc:title>PG&amp;E Letter Template, rev. 2/24/97, The Legal MacPac</dc:title>
</cp:coreProperties>
</file>