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480" w:after="0"/>
        <w:jc w:val="center"/>
        <w:rPr>
          <w:b/>
          <w:bCs/>
          <w:sz w:val="24"/>
          <w:szCs w:val="24"/>
        </w:rPr>
      </w:pPr>
      <w:bookmarkStart w:id="0" w:name="PleadingCPUCModel"/>
      <w:bookmarkEnd w:id="0"/>
      <w:r>
        <w:rPr>
          <w:b/>
          <w:bCs/>
          <w:sz w:val="24"/>
          <w:szCs w:val="24"/>
        </w:rPr>
        <w:t>BEFORE THE PUBLIC UTILITIES COMMISSION</w:t>
        <w:br/>
        <w:t>OF THE STATE OF CALIFORNIA</w:t>
      </w:r>
    </w:p>
    <w:p>
      <w:pPr>
        <w:pStyle w:val="Normal"/>
        <w:rPr>
          <w:b/>
          <w:bCs/>
          <w:sz w:val="24"/>
          <w:szCs w:val="24"/>
        </w:rPr>
      </w:pPr>
      <w:r>
        <w:rPr>
          <w:b/>
          <w:bCs/>
          <w:sz w:val="24"/>
          <w:szCs w:val="24"/>
        </w:rPr>
      </w:r>
    </w:p>
    <w:p>
      <w:pPr>
        <w:pStyle w:val="Normal"/>
        <w:rPr>
          <w:sz w:val="24"/>
          <w:szCs w:val="24"/>
        </w:rPr>
      </w:pPr>
      <w:r>
        <w:rPr>
          <w:sz w:val="24"/>
          <w:szCs w:val="24"/>
        </w:rPr>
      </w:r>
    </w:p>
    <w:tbl>
      <w:tblPr>
        <w:tblW w:w="9576" w:type="dxa"/>
        <w:jc w:val="start"/>
        <w:tblInd w:w="0" w:type="dxa"/>
        <w:tblLayout w:type="fixed"/>
        <w:tblCellMar>
          <w:top w:w="0" w:type="dxa"/>
          <w:start w:w="108" w:type="dxa"/>
          <w:bottom w:w="0" w:type="dxa"/>
          <w:end w:w="108" w:type="dxa"/>
        </w:tblCellMar>
      </w:tblPr>
      <w:tblGrid>
        <w:gridCol w:w="6498"/>
        <w:gridCol w:w="3078"/>
      </w:tblGrid>
      <w:tr>
        <w:trPr/>
        <w:tc>
          <w:tcPr>
            <w:tcW w:w="6498" w:type="dxa"/>
            <w:tcBorders>
              <w:bottom w:val="single" w:sz="6" w:space="0" w:color="000000"/>
              <w:end w:val="single" w:sz="6" w:space="0" w:color="000000"/>
            </w:tcBorders>
          </w:tcPr>
          <w:p>
            <w:pPr>
              <w:pStyle w:val="Normal"/>
              <w:tabs>
                <w:tab w:val="clear" w:pos="720"/>
                <w:tab w:val="left" w:pos="1440" w:leader="none"/>
              </w:tabs>
              <w:rPr>
                <w:sz w:val="24"/>
                <w:szCs w:val="24"/>
              </w:rPr>
            </w:pPr>
            <w:r>
              <w:rPr>
                <w:sz w:val="24"/>
                <w:szCs w:val="24"/>
              </w:rPr>
              <w:t>Expedited Application of Pacific Gas and Electric Company (1) to issue, sell and deliver one or more series of its First and Refunding Mortgage Bonds, debentures, subordinated deferrable interest debentures, promissory notes and/or other evidences of indebtedness in connection with domestic or Euro-market offerings, to guarantee the obligations of others in respect of the issuance of securities and to arrange for standby letters of credit as performance guarantees, the total aggregate principal amount of such issuances and guarantees not to exceed $2 billion; (2) to enter into one or more interest rate caps, collars and swaps; (3) to issue variable rate debt (including fixed rate debt swapped to a variable rate) to finance balancing account undercollections; and (4) for an exemption from the Competitive Bidding Rule</w:t>
            </w:r>
          </w:p>
          <w:p>
            <w:pPr>
              <w:pStyle w:val="Normal"/>
              <w:tabs>
                <w:tab w:val="clear" w:pos="720"/>
                <w:tab w:val="left" w:pos="1440" w:leader="none"/>
              </w:tabs>
              <w:jc w:val="end"/>
              <w:rPr>
                <w:sz w:val="24"/>
                <w:szCs w:val="24"/>
              </w:rPr>
            </w:pPr>
            <w:r>
              <w:rPr>
                <w:sz w:val="24"/>
                <w:szCs w:val="24"/>
              </w:rPr>
              <w:t>(U 39 M)</w:t>
            </w:r>
          </w:p>
        </w:tc>
        <w:tc>
          <w:tcPr>
            <w:tcW w:w="3078" w:type="dxa"/>
            <w:tcBorders>
              <w:start w:val="dashed" w:sz="6" w:space="0" w:color="auto"/>
            </w:tcBorders>
          </w:tcPr>
          <w:p>
            <w:pPr>
              <w:pStyle w:val="Normal"/>
              <w:snapToGrid w:val="false"/>
              <w:ind w:start="252" w:end="0"/>
              <w:rPr>
                <w:sz w:val="24"/>
                <w:szCs w:val="24"/>
              </w:rPr>
            </w:pPr>
            <w:r>
              <w:rPr>
                <w:sz w:val="24"/>
                <w:szCs w:val="24"/>
              </w:rPr>
            </w:r>
          </w:p>
          <w:p>
            <w:pPr>
              <w:pStyle w:val="Normal"/>
              <w:ind w:start="252" w:end="0"/>
              <w:rPr>
                <w:sz w:val="24"/>
                <w:szCs w:val="24"/>
              </w:rPr>
            </w:pPr>
            <w:r>
              <w:rPr>
                <w:sz w:val="24"/>
                <w:szCs w:val="24"/>
              </w:rPr>
            </w:r>
          </w:p>
          <w:p>
            <w:pPr>
              <w:pStyle w:val="Normal"/>
              <w:ind w:start="252" w:end="0"/>
              <w:rPr>
                <w:sz w:val="24"/>
                <w:szCs w:val="24"/>
              </w:rPr>
            </w:pPr>
            <w:r>
              <w:rPr>
                <w:sz w:val="24"/>
                <w:szCs w:val="24"/>
              </w:rPr>
              <w:t>Application No. 00-10-029</w:t>
            </w:r>
          </w:p>
          <w:p>
            <w:pPr>
              <w:pStyle w:val="Normal"/>
              <w:ind w:start="252" w:end="0"/>
              <w:jc w:val="center"/>
              <w:rPr>
                <w:sz w:val="24"/>
                <w:szCs w:val="24"/>
              </w:rPr>
            </w:pPr>
            <w:r>
              <w:rPr>
                <w:sz w:val="24"/>
                <w:szCs w:val="24"/>
              </w:rPr>
            </w:r>
          </w:p>
          <w:p>
            <w:pPr>
              <w:pStyle w:val="Normal"/>
              <w:ind w:start="252" w:end="0"/>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jc w:val="center"/>
        <w:rPr>
          <w:b/>
          <w:bCs/>
          <w:sz w:val="24"/>
          <w:szCs w:val="24"/>
        </w:rPr>
      </w:pPr>
      <w:r>
        <w:rPr>
          <w:b/>
          <w:bCs/>
          <w:sz w:val="24"/>
          <w:szCs w:val="24"/>
        </w:rPr>
        <w:t xml:space="preserve">SECOND EXPEDITED PETITION FOR MODIFICATION OF </w:t>
      </w:r>
    </w:p>
    <w:p>
      <w:pPr>
        <w:pStyle w:val="Normal"/>
        <w:jc w:val="center"/>
        <w:rPr>
          <w:b/>
          <w:bCs/>
          <w:sz w:val="24"/>
          <w:szCs w:val="24"/>
        </w:rPr>
      </w:pPr>
      <w:r>
        <w:rPr>
          <w:b/>
          <w:bCs/>
          <w:sz w:val="24"/>
          <w:szCs w:val="24"/>
        </w:rPr>
        <w:t>DECISION NO. 00-12-064 AND AUTHORIZATION UNDER SECTION 851</w:t>
      </w:r>
    </w:p>
    <w:p>
      <w:pPr>
        <w:pStyle w:val="Normal"/>
        <w:jc w:val="center"/>
        <w:rPr>
          <w:b/>
          <w:bCs/>
          <w:sz w:val="24"/>
          <w:szCs w:val="24"/>
        </w:rPr>
      </w:pPr>
      <w:r>
        <w:rPr>
          <w:b/>
          <w:bCs/>
          <w:sz w:val="24"/>
          <w:szCs w:val="24"/>
        </w:rPr>
        <w:t>ON AN EMERGENCY BASIS</w:t>
      </w:r>
    </w:p>
    <w:p>
      <w:pPr>
        <w:pStyle w:val="Normal"/>
        <w:rPr>
          <w:b/>
          <w:bCs/>
          <w:sz w:val="24"/>
          <w:szCs w:val="24"/>
        </w:rPr>
      </w:pPr>
      <w:r>
        <w:rPr>
          <w:b/>
          <w:bCs/>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ind w:start="3600" w:end="0"/>
        <w:rPr>
          <w:sz w:val="24"/>
          <w:szCs w:val="24"/>
        </w:rPr>
      </w:pPr>
      <w:r>
        <w:rPr>
          <w:sz w:val="24"/>
          <w:szCs w:val="24"/>
        </w:rPr>
        <w:t>CHRISTOPHER J. WARNER</w:t>
      </w:r>
    </w:p>
    <w:p>
      <w:pPr>
        <w:pStyle w:val="Normal"/>
        <w:ind w:start="3600" w:end="0"/>
        <w:rPr>
          <w:sz w:val="24"/>
          <w:szCs w:val="24"/>
        </w:rPr>
      </w:pPr>
      <w:r>
        <w:rPr>
          <w:sz w:val="24"/>
          <w:szCs w:val="24"/>
        </w:rPr>
        <w:t>DOREEN A. LUDEMANN</w:t>
      </w:r>
    </w:p>
    <w:p>
      <w:pPr>
        <w:pStyle w:val="Normal"/>
        <w:ind w:start="3600" w:end="0"/>
        <w:rPr>
          <w:sz w:val="24"/>
          <w:szCs w:val="24"/>
        </w:rPr>
      </w:pPr>
      <w:r>
        <w:rPr>
          <w:sz w:val="24"/>
          <w:szCs w:val="24"/>
        </w:rPr>
        <w:t>SHIRLEY A. WOO</w:t>
      </w:r>
    </w:p>
    <w:p>
      <w:pPr>
        <w:pStyle w:val="Normal"/>
        <w:ind w:start="3600" w:end="0"/>
        <w:rPr>
          <w:sz w:val="24"/>
          <w:szCs w:val="24"/>
        </w:rPr>
      </w:pPr>
      <w:r>
        <w:rPr>
          <w:sz w:val="24"/>
          <w:szCs w:val="24"/>
        </w:rPr>
        <w:t>ROBERT M. MONTI</w:t>
      </w:r>
    </w:p>
    <w:p>
      <w:pPr>
        <w:pStyle w:val="Normal"/>
        <w:ind w:start="3600" w:end="0"/>
        <w:rPr>
          <w:sz w:val="24"/>
          <w:szCs w:val="24"/>
        </w:rPr>
      </w:pPr>
      <w:r>
        <w:rPr>
          <w:sz w:val="24"/>
          <w:szCs w:val="24"/>
        </w:rPr>
      </w:r>
    </w:p>
    <w:p>
      <w:pPr>
        <w:pStyle w:val="Normal"/>
        <w:ind w:start="3600" w:end="0"/>
        <w:rPr>
          <w:sz w:val="24"/>
          <w:szCs w:val="24"/>
        </w:rPr>
      </w:pPr>
      <w:r>
        <w:rPr>
          <w:sz w:val="24"/>
          <w:szCs w:val="24"/>
        </w:rPr>
        <w:t>Law Department</w:t>
      </w:r>
    </w:p>
    <w:p>
      <w:pPr>
        <w:pStyle w:val="Normal"/>
        <w:ind w:start="3600" w:end="0"/>
        <w:rPr>
          <w:sz w:val="24"/>
          <w:szCs w:val="24"/>
        </w:rPr>
      </w:pPr>
      <w:r>
        <w:rPr>
          <w:sz w:val="24"/>
          <w:szCs w:val="24"/>
        </w:rPr>
        <w:t>Pacific Gas and Electric Company</w:t>
      </w:r>
    </w:p>
    <w:p>
      <w:pPr>
        <w:pStyle w:val="Normal"/>
        <w:ind w:start="3600" w:end="0"/>
        <w:rPr>
          <w:sz w:val="24"/>
          <w:szCs w:val="24"/>
        </w:rPr>
      </w:pPr>
      <w:r>
        <w:rPr>
          <w:sz w:val="24"/>
          <w:szCs w:val="24"/>
        </w:rPr>
        <w:t>Post Office Box 7442</w:t>
      </w:r>
    </w:p>
    <w:p>
      <w:pPr>
        <w:pStyle w:val="Normal"/>
        <w:ind w:start="3600" w:end="0"/>
        <w:rPr>
          <w:sz w:val="24"/>
          <w:szCs w:val="24"/>
        </w:rPr>
      </w:pPr>
      <w:r>
        <w:rPr>
          <w:sz w:val="24"/>
          <w:szCs w:val="24"/>
        </w:rPr>
        <w:t>San Francisco, CA  94120</w:t>
      </w:r>
    </w:p>
    <w:p>
      <w:pPr>
        <w:pStyle w:val="Normal"/>
        <w:ind w:start="3600" w:end="0"/>
        <w:rPr>
          <w:sz w:val="24"/>
          <w:szCs w:val="24"/>
        </w:rPr>
      </w:pPr>
      <w:r>
        <w:rPr>
          <w:sz w:val="24"/>
          <w:szCs w:val="24"/>
        </w:rPr>
        <w:t>Telephone: (415) 973-2248</w:t>
      </w:r>
    </w:p>
    <w:p>
      <w:pPr>
        <w:pStyle w:val="Normal"/>
        <w:ind w:start="3600" w:end="0"/>
        <w:rPr>
          <w:sz w:val="24"/>
          <w:szCs w:val="24"/>
        </w:rPr>
      </w:pPr>
      <w:r>
        <w:rPr>
          <w:sz w:val="24"/>
          <w:szCs w:val="24"/>
        </w:rPr>
      </w:r>
    </w:p>
    <w:p>
      <w:pPr>
        <w:pStyle w:val="Normal"/>
        <w:ind w:start="3600" w:end="0"/>
        <w:rPr>
          <w:sz w:val="24"/>
          <w:szCs w:val="24"/>
        </w:rPr>
      </w:pPr>
      <w:r>
        <w:rPr>
          <w:sz w:val="24"/>
          <w:szCs w:val="24"/>
        </w:rPr>
        <w:t>Attorneys for</w:t>
      </w:r>
    </w:p>
    <w:p>
      <w:pPr>
        <w:pStyle w:val="Normal"/>
        <w:ind w:start="3600" w:end="0"/>
        <w:rPr>
          <w:sz w:val="24"/>
          <w:szCs w:val="24"/>
        </w:rPr>
      </w:pPr>
      <w:r>
        <w:rPr>
          <w:sz w:val="24"/>
          <w:szCs w:val="24"/>
        </w:rPr>
        <w:t>PACIFIC GAS AND ELECTRIC COMPANY</w:t>
      </w:r>
    </w:p>
    <w:p>
      <w:pPr>
        <w:pStyle w:val="Normal"/>
        <w:ind w:start="3240" w:end="0"/>
        <w:rPr>
          <w:sz w:val="24"/>
          <w:szCs w:val="24"/>
        </w:rPr>
      </w:pPr>
      <w:r>
        <w:rPr>
          <w:sz w:val="24"/>
          <w:szCs w:val="24"/>
        </w:rPr>
      </w:r>
    </w:p>
    <w:p>
      <w:pPr>
        <w:pStyle w:val="Normal"/>
        <w:rPr>
          <w:sz w:val="24"/>
          <w:szCs w:val="24"/>
        </w:rPr>
      </w:pPr>
      <w:r>
        <w:rPr>
          <w:sz w:val="24"/>
          <w:szCs w:val="24"/>
        </w:rPr>
        <w:t>January 22, 2001</w:t>
      </w:r>
      <w:r>
        <w:br w:type="page"/>
      </w:r>
    </w:p>
    <w:p>
      <w:pPr>
        <w:pStyle w:val="Normal"/>
        <w:jc w:val="center"/>
        <w:rPr>
          <w:b/>
          <w:bCs/>
          <w:sz w:val="24"/>
          <w:szCs w:val="24"/>
        </w:rPr>
      </w:pPr>
      <w:r>
        <w:rPr>
          <w:b/>
          <w:bCs/>
          <w:sz w:val="24"/>
          <w:szCs w:val="24"/>
        </w:rPr>
        <w:t>BEFORE THE PUBLIC UTILITIES COMMISSION</w:t>
        <w:br/>
        <w:t>OF THE STATE OF CALIFORNIA</w:t>
      </w:r>
    </w:p>
    <w:p>
      <w:pPr>
        <w:pStyle w:val="Normal"/>
        <w:rPr>
          <w:b/>
          <w:bCs/>
          <w:sz w:val="24"/>
          <w:szCs w:val="24"/>
        </w:rPr>
      </w:pPr>
      <w:r>
        <w:rPr>
          <w:b/>
          <w:bCs/>
          <w:sz w:val="24"/>
          <w:szCs w:val="24"/>
        </w:rPr>
      </w:r>
    </w:p>
    <w:p>
      <w:pPr>
        <w:pStyle w:val="Normal"/>
        <w:jc w:val="center"/>
        <w:rPr>
          <w:b/>
          <w:bCs/>
          <w:sz w:val="24"/>
          <w:szCs w:val="24"/>
        </w:rPr>
      </w:pPr>
      <w:r>
        <w:rPr>
          <w:b/>
          <w:bCs/>
          <w:sz w:val="24"/>
          <w:szCs w:val="24"/>
        </w:rPr>
      </w:r>
    </w:p>
    <w:tbl>
      <w:tblPr>
        <w:tblW w:w="9576" w:type="dxa"/>
        <w:jc w:val="start"/>
        <w:tblInd w:w="0" w:type="dxa"/>
        <w:tblLayout w:type="fixed"/>
        <w:tblCellMar>
          <w:top w:w="0" w:type="dxa"/>
          <w:start w:w="108" w:type="dxa"/>
          <w:bottom w:w="0" w:type="dxa"/>
          <w:end w:w="108" w:type="dxa"/>
        </w:tblCellMar>
      </w:tblPr>
      <w:tblGrid>
        <w:gridCol w:w="6408"/>
        <w:gridCol w:w="3168"/>
      </w:tblGrid>
      <w:tr>
        <w:trPr/>
        <w:tc>
          <w:tcPr>
            <w:tcW w:w="6408" w:type="dxa"/>
            <w:tcBorders>
              <w:bottom w:val="single" w:sz="6" w:space="0" w:color="000000"/>
              <w:end w:val="single" w:sz="6" w:space="0" w:color="000000"/>
            </w:tcBorders>
          </w:tcPr>
          <w:p>
            <w:pPr>
              <w:pStyle w:val="Normal"/>
              <w:tabs>
                <w:tab w:val="clear" w:pos="720"/>
                <w:tab w:val="left" w:pos="1440" w:leader="none"/>
              </w:tabs>
              <w:rPr>
                <w:sz w:val="24"/>
                <w:szCs w:val="24"/>
              </w:rPr>
            </w:pPr>
            <w:r>
              <w:rPr>
                <w:sz w:val="24"/>
                <w:szCs w:val="24"/>
              </w:rPr>
              <w:t>Expedited Application of Pacific Gas and Electric Company (1) to issue, sell and deliver one or more series of its First and Refunding Mortgage Bonds, debentures, subordinated deferrable interest debentures, promissory notes and/or other evidences of indebtedness in connection with domestic or Euro-market offerings, to guarantee the obligations of others in respect of the issuance of securities and to arrange for standby letters of credit as performance guarantees, the total aggregate principal amount of such issuances and guarantees not to exceed $2 billion; (2) to enter into one or more interest rate caps, collars and swaps; (3) to issue variable rate debt (including fixed rate debt swapped to a variable rate) to finance balancing account undercollections; and (4) for an exemption from the Competitive Bidding Rule</w:t>
            </w:r>
          </w:p>
          <w:p>
            <w:pPr>
              <w:pStyle w:val="Normal"/>
              <w:tabs>
                <w:tab w:val="clear" w:pos="720"/>
                <w:tab w:val="left" w:pos="1440" w:leader="none"/>
              </w:tabs>
              <w:rPr>
                <w:sz w:val="24"/>
                <w:szCs w:val="24"/>
              </w:rPr>
            </w:pPr>
            <w:r>
              <w:rPr>
                <w:sz w:val="24"/>
                <w:szCs w:val="24"/>
              </w:rPr>
            </w:r>
          </w:p>
          <w:p>
            <w:pPr>
              <w:pStyle w:val="Normal"/>
              <w:tabs>
                <w:tab w:val="clear" w:pos="720"/>
                <w:tab w:val="left" w:pos="1440" w:leader="none"/>
              </w:tabs>
              <w:jc w:val="end"/>
              <w:rPr>
                <w:sz w:val="24"/>
                <w:szCs w:val="24"/>
              </w:rPr>
            </w:pPr>
            <w:r>
              <w:rPr>
                <w:sz w:val="24"/>
                <w:szCs w:val="24"/>
              </w:rPr>
              <w:t>(U 39 M)</w:t>
            </w:r>
          </w:p>
        </w:tc>
        <w:tc>
          <w:tcPr>
            <w:tcW w:w="3168" w:type="dxa"/>
            <w:tcBorders>
              <w:start w:val="dashed" w:sz="6" w:space="0" w:color="auto"/>
            </w:tcBorders>
          </w:tcPr>
          <w:p>
            <w:pPr>
              <w:pStyle w:val="Normal"/>
              <w:snapToGrid w:val="false"/>
              <w:ind w:start="252" w:end="0"/>
              <w:rPr>
                <w:sz w:val="24"/>
                <w:szCs w:val="24"/>
              </w:rPr>
            </w:pPr>
            <w:r>
              <w:rPr>
                <w:sz w:val="24"/>
                <w:szCs w:val="24"/>
              </w:rPr>
            </w:r>
          </w:p>
          <w:p>
            <w:pPr>
              <w:pStyle w:val="Normal"/>
              <w:ind w:start="252" w:end="0"/>
              <w:rPr>
                <w:sz w:val="24"/>
                <w:szCs w:val="24"/>
              </w:rPr>
            </w:pPr>
            <w:r>
              <w:rPr>
                <w:sz w:val="24"/>
                <w:szCs w:val="24"/>
              </w:rPr>
            </w:r>
          </w:p>
          <w:p>
            <w:pPr>
              <w:pStyle w:val="Normal"/>
              <w:ind w:start="252" w:end="0"/>
              <w:rPr>
                <w:sz w:val="24"/>
                <w:szCs w:val="24"/>
              </w:rPr>
            </w:pPr>
            <w:r>
              <w:rPr>
                <w:sz w:val="24"/>
                <w:szCs w:val="24"/>
              </w:rPr>
              <w:t>Application No. 00-10-029</w:t>
            </w:r>
          </w:p>
          <w:p>
            <w:pPr>
              <w:pStyle w:val="Normal"/>
              <w:ind w:start="252" w:end="0"/>
              <w:jc w:val="center"/>
              <w:rPr>
                <w:sz w:val="24"/>
                <w:szCs w:val="24"/>
              </w:rPr>
            </w:pPr>
            <w:r>
              <w:rPr>
                <w:sz w:val="24"/>
                <w:szCs w:val="24"/>
              </w:rPr>
            </w:r>
          </w:p>
          <w:p>
            <w:pPr>
              <w:pStyle w:val="Normal"/>
              <w:ind w:start="252" w:end="0"/>
              <w:rPr>
                <w:sz w:val="24"/>
                <w:szCs w:val="24"/>
              </w:rPr>
            </w:pPr>
            <w:r>
              <w:rPr>
                <w:sz w:val="24"/>
                <w:szCs w:val="24"/>
              </w:rPr>
            </w:r>
          </w:p>
        </w:tc>
      </w:tr>
    </w:tbl>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 xml:space="preserve">SECOND EXPEDITED PETITION FOR MODIFICATION OF </w:t>
      </w:r>
    </w:p>
    <w:p>
      <w:pPr>
        <w:pStyle w:val="Normal"/>
        <w:jc w:val="center"/>
        <w:rPr>
          <w:b/>
          <w:bCs/>
          <w:sz w:val="24"/>
          <w:szCs w:val="24"/>
        </w:rPr>
      </w:pPr>
      <w:r>
        <w:rPr>
          <w:b/>
          <w:bCs/>
          <w:sz w:val="24"/>
          <w:szCs w:val="24"/>
        </w:rPr>
        <w:t>DECISION NO. 00-12-064 AND AUTHORIZATION UNDER SECTION 851</w:t>
      </w:r>
    </w:p>
    <w:p>
      <w:pPr>
        <w:pStyle w:val="Normal"/>
        <w:jc w:val="center"/>
        <w:rPr>
          <w:b/>
          <w:bCs/>
          <w:sz w:val="24"/>
          <w:szCs w:val="24"/>
        </w:rPr>
      </w:pPr>
      <w:r>
        <w:rPr>
          <w:b/>
          <w:bCs/>
          <w:sz w:val="24"/>
          <w:szCs w:val="24"/>
        </w:rPr>
        <w:t>ON AN EMERGENCY BASIS</w:t>
      </w:r>
    </w:p>
    <w:p>
      <w:pPr>
        <w:pStyle w:val="Normal"/>
        <w:jc w:val="center"/>
        <w:rPr>
          <w:b/>
          <w:bCs/>
          <w:sz w:val="24"/>
          <w:szCs w:val="24"/>
        </w:rPr>
      </w:pPr>
      <w:r>
        <w:rPr>
          <w:b/>
          <w:bCs/>
          <w:sz w:val="24"/>
          <w:szCs w:val="24"/>
        </w:rPr>
      </w:r>
    </w:p>
    <w:p>
      <w:pPr>
        <w:pStyle w:val="Normal"/>
        <w:rPr>
          <w:b/>
          <w:bCs/>
          <w:sz w:val="24"/>
          <w:szCs w:val="24"/>
        </w:rPr>
      </w:pPr>
      <w:r>
        <w:rPr>
          <w:b/>
          <w:bCs/>
          <w:sz w:val="24"/>
          <w:szCs w:val="24"/>
        </w:rPr>
      </w:r>
    </w:p>
    <w:p>
      <w:pPr>
        <w:pStyle w:val="Normal"/>
        <w:spacing w:lineRule="exact" w:line="480"/>
        <w:rPr>
          <w:sz w:val="24"/>
          <w:szCs w:val="24"/>
        </w:rPr>
      </w:pPr>
      <w:r>
        <w:rPr>
          <w:sz w:val="24"/>
          <w:szCs w:val="24"/>
        </w:rPr>
        <w:tab/>
        <w:t xml:space="preserve">Pursuant to Rule 47 of the California Public Utilities Commission’s (the “Commission”) rules of Practice and Procedure, Pacific Gas and Electric Company (“PG&amp;E”) hereby petitions on an emergency basis for modification of Decision No. 00-12-064, dated December 21, 2000, which authorized PG&amp;E, among other things, to issue an additional $2 billion in long-term debt to finance the large undercollection relating to the purchase of wholesale electricity for delivery to its retail customers.  As set forth in this Petition, because of the continuing wholesale energy crisis in the state of California, and the impact it is having on PG&amp;E’s financial health and ability to obtain core gas supplies for customers in its service area, PG&amp;E is filing this petition on an emergency basis to seek immediate permission to utilize its existing and future customer account receivables and customer accounts to finance and/or securitize its core gas purchases from gas suppliers.  </w:t>
      </w:r>
    </w:p>
    <w:p>
      <w:pPr>
        <w:pStyle w:val="Normal"/>
        <w:spacing w:lineRule="exact" w:line="480"/>
        <w:ind w:firstLine="720" w:end="0"/>
        <w:rPr>
          <w:sz w:val="24"/>
          <w:szCs w:val="24"/>
        </w:rPr>
      </w:pPr>
      <w:r>
        <w:rPr>
          <w:sz w:val="24"/>
          <w:szCs w:val="24"/>
        </w:rPr>
        <w:t xml:space="preserve">PG&amp;E’s rapidly deteriorating financial condition has alarmed its core gas suppliers because they see the financial crisis as potentially impacting their ability to receive full payment for their sales of core gas.  Gas suppliers have demanded adequate financial assurances in the form of accelerated payments for their gas.  PG&amp;E, however, does not have the cash necessary to accelerate payment to the gas suppliers ahead of the normal contract payment date.  Consequently, gas suppliers have sought to reduce their financial exposure for sales to PG&amp;E by potentially cutting off current deliveries and refusing to contract for new supplies.  </w:t>
      </w:r>
    </w:p>
    <w:p>
      <w:pPr>
        <w:pStyle w:val="Normal"/>
        <w:spacing w:lineRule="exact" w:line="480"/>
        <w:ind w:firstLine="720" w:end="0"/>
        <w:rPr>
          <w:sz w:val="24"/>
          <w:szCs w:val="24"/>
        </w:rPr>
      </w:pPr>
      <w:r>
        <w:rPr>
          <w:sz w:val="24"/>
          <w:szCs w:val="24"/>
        </w:rPr>
        <w:t>As a result, PG&amp;E, its core gas customers and its gas system face an unprecedented crisis because gas suppliers have started cutting off January deliveries of core gas to PG&amp;E and are unwilling to contract with PG&amp;E for any new supply arrangements.  PG&amp;E has already lost over 25 percent of the January flowing core gas supplies, with the suspension of gas deliveries from J. Aron &amp; Company, Western Gas Resources and Sempra Energy.  Two other suppliers, Duke Energy and Coastal Merchant Energy have indicated they may suspend deliveries soon, which would cut off another 11 percent of January’s flowing supplies.  In addition, other significant gas suppliers who provide approximately 34 percent of PG&amp;E’s January flowing supply have stated their belief that they would be justified in terminating gas deliveries to PG&amp;E at any time.  In total, approximately 71 percent of PG&amp;E’s January flowing supply has either already been cut off, or is at clear risk of termination.</w:t>
      </w:r>
      <w:r>
        <w:rPr>
          <w:rStyle w:val="FootnoteCharacters"/>
          <w:rStyle w:val="FootnoteReference"/>
          <w:sz w:val="24"/>
          <w:szCs w:val="24"/>
        </w:rPr>
        <w:footnoteReference w:id="2"/>
      </w:r>
      <w:r>
        <w:rPr>
          <w:sz w:val="24"/>
          <w:szCs w:val="24"/>
        </w:rPr>
        <w:t xml:space="preserve">  Furthermore, PG&amp;E has been unable to secure commitments needed to obtain flowing gas supplies adequate to serve core customers in February and beyond.</w:t>
      </w:r>
      <w:r>
        <w:rPr>
          <w:b/>
          <w:bCs/>
          <w:sz w:val="24"/>
          <w:szCs w:val="24"/>
        </w:rPr>
        <w:t xml:space="preserve">  </w:t>
      </w:r>
    </w:p>
    <w:p>
      <w:pPr>
        <w:pStyle w:val="Normal"/>
        <w:spacing w:lineRule="exact" w:line="480"/>
        <w:ind w:firstLine="720" w:end="0"/>
        <w:rPr>
          <w:sz w:val="24"/>
          <w:szCs w:val="24"/>
        </w:rPr>
      </w:pPr>
      <w:r>
        <w:rPr>
          <w:sz w:val="24"/>
          <w:szCs w:val="24"/>
        </w:rPr>
        <w:t>PG&amp;E has explored various alternatives which could alleviate the developing gas emergency, including requests to Governor Gray Davis and the U.S. Department of Energy, PG&amp;E’s Application  01-01-024 to the Commission for an Immediate Finding of a Gas Supply Emergency and an Order Directing Southern California Gas Company to Provide Mutual Assistance, and alternative gas supply arrangements.  Recent discussions with gas suppliers indicate that if PG&amp;E’s current and future customer accounts receivables can be used immediately to secure PG&amp;E’s payment obligations for its gas purchases on an ongoing basis, gas suppliers representing a significant portion of PG&amp;E’s flowing gas supplies would be willing to continue flowing gas and to enter into arrangements to provide future months’ core supplies.  For these discussions to produce tangible results in the very short time remaining before the gas system could go into diversions or partial collapse, however, PG&amp;E needs the immediate ability to provide the gas suppliers with a security interest in PG&amp;E’s existing and future customer account receivables.  Therefore, PG&amp;E requests the Commission to provide the authority requested in this application forthwith, on an emergency basis.</w:t>
      </w:r>
    </w:p>
    <w:p>
      <w:pPr>
        <w:pStyle w:val="Heading1"/>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I.  BACKGROUND AND AUTHORITY REQUESTED</w:t>
      </w:r>
    </w:p>
    <w:p>
      <w:pPr>
        <w:pStyle w:val="Normal"/>
        <w:spacing w:lineRule="exact" w:line="480"/>
        <w:rPr>
          <w:sz w:val="24"/>
          <w:szCs w:val="24"/>
        </w:rPr>
      </w:pPr>
      <w:r>
        <w:rPr>
          <w:sz w:val="24"/>
          <w:szCs w:val="24"/>
        </w:rPr>
        <w:tab/>
        <w:t>On December 29, 2000, PG&amp;E filed a petition to modify D. 00-12-064 to permit the issuance of accounts receivable financing thereunder.  The authorization requested was limited to the same purposes as identified in D. 00-12-064, which did not extend to gas utility needs.  PG&amp;E now requests the Commission to issue on an emergency basis, an order authorizing the use of existing and future customer account receivables as security and/or financing for core gas acquisition purposes.</w:t>
      </w:r>
    </w:p>
    <w:p>
      <w:pPr>
        <w:pStyle w:val="Normal"/>
        <w:spacing w:lineRule="exact" w:line="480"/>
        <w:rPr>
          <w:sz w:val="24"/>
          <w:szCs w:val="24"/>
        </w:rPr>
      </w:pPr>
      <w:r>
        <w:rPr>
          <w:sz w:val="24"/>
          <w:szCs w:val="24"/>
        </w:rPr>
        <w:tab/>
        <w:t xml:space="preserve">As a result of the extreme deterioration in PG&amp;E’s financial health, gas suppliers have begun refusing to sell and deliver gas to PG&amp;E.  In addition, PG&amp;E has been drawing on its storage gas at an alarming rate to make up for reductions in flowing supplies.  This heavy reliance on storage has reduced available storage withdraws to levels where PG&amp;E does not have sufficient storage going forward to cover deficiencies in flowing core supplies.  As a result, PG&amp;E is fast approaching the point where it will be unable to meet the needs of its core gas customers in the coming days or weeks.  The immediate remedies currently available to PG&amp;E, such as diverting gas from noncore customers including electric generators, would make the current electric crisis worse, and would provide only temporary relief.  </w:t>
      </w:r>
    </w:p>
    <w:p>
      <w:pPr>
        <w:pStyle w:val="Normal"/>
        <w:spacing w:lineRule="exact" w:line="240"/>
        <w:jc w:val="center"/>
        <w:rPr>
          <w:b/>
          <w:bCs/>
          <w:sz w:val="24"/>
          <w:szCs w:val="24"/>
        </w:rPr>
      </w:pPr>
      <w:r>
        <w:rPr>
          <w:b/>
          <w:bCs/>
          <w:sz w:val="24"/>
          <w:szCs w:val="24"/>
        </w:rPr>
      </w:r>
    </w:p>
    <w:p>
      <w:pPr>
        <w:pStyle w:val="Normal"/>
        <w:numPr>
          <w:ilvl w:val="0"/>
          <w:numId w:val="2"/>
        </w:numPr>
        <w:tabs>
          <w:tab w:val="clear" w:pos="720"/>
          <w:tab w:val="left" w:pos="0" w:leader="none"/>
        </w:tabs>
        <w:spacing w:lineRule="exact" w:line="240"/>
        <w:ind w:hanging="990" w:start="2160" w:end="0"/>
        <w:rPr>
          <w:b/>
          <w:bCs/>
          <w:sz w:val="24"/>
          <w:szCs w:val="24"/>
        </w:rPr>
      </w:pPr>
      <w:r>
        <w:rPr>
          <w:b/>
          <w:bCs/>
          <w:sz w:val="24"/>
          <w:szCs w:val="24"/>
        </w:rPr>
        <w:t>PG&amp;E has Filed an Application for a Commission Order Directing Southern California Gas Company to Provide Mutual Assistance during the Crisis</w:t>
      </w:r>
    </w:p>
    <w:p>
      <w:pPr>
        <w:pStyle w:val="Normal"/>
        <w:spacing w:lineRule="exact" w:line="480"/>
        <w:rPr>
          <w:sz w:val="24"/>
          <w:szCs w:val="24"/>
        </w:rPr>
      </w:pPr>
      <w:r>
        <w:rPr>
          <w:sz w:val="24"/>
          <w:szCs w:val="24"/>
        </w:rPr>
        <w:tab/>
        <w:t>Due to the extreme gas crisis developing on its system, PG&amp;E filed an emergency application on January 18, 2001, for Immediate Finding of a Gas Supply Emergency and an order directing Southern California Gas Company to Provide Mutual Assistance (A.01-01-024).  In the application and the accompanying declarations, PG&amp;E set forth the details about the gas system emergency that now exists and provided information on 1) the gas suppliers that are ceasing to deliver gas under January contracts, 2) PG&amp;E’s inability to obtain additional gas needed now or for future months, and 3) PG&amp;E’s rapidly declining ability to withdraw storage gas.  As stated at page 5 of the application, “at expected withdrawal rates, absent a solution, PG&amp;E expects that it is likely that it will be forced to make diversions of gas from noncore customers by no later than mid-February, even during periods of normal temperatures, and even if no additional suppliers terminate service.”  After Application 01-01-024 was filed, Sempra Energy (representing 12 percent of January flowing supplies) terminated its deliveries of core gas supplies to PG&amp;E.  Application 01-01-024 filed January 18, 2001, further discusses the potential for loss of core supply to impair the operation of the gas system and cause significant, long term curtailments of gas service.  A copy Application 01-01-024 and its accompanying declarations are attached to this Application as Appendix A.</w:t>
      </w:r>
    </w:p>
    <w:p>
      <w:pPr>
        <w:pStyle w:val="Normal"/>
        <w:spacing w:lineRule="exact" w:line="240"/>
        <w:jc w:val="center"/>
        <w:rPr>
          <w:b/>
          <w:bCs/>
          <w:sz w:val="24"/>
          <w:szCs w:val="24"/>
        </w:rPr>
      </w:pPr>
      <w:r>
        <w:rPr>
          <w:b/>
          <w:bCs/>
          <w:sz w:val="24"/>
          <w:szCs w:val="24"/>
        </w:rPr>
      </w:r>
    </w:p>
    <w:p>
      <w:pPr>
        <w:pStyle w:val="Normal"/>
        <w:numPr>
          <w:ilvl w:val="0"/>
          <w:numId w:val="3"/>
        </w:numPr>
        <w:tabs>
          <w:tab w:val="clear" w:pos="720"/>
          <w:tab w:val="left" w:pos="0" w:leader="none"/>
        </w:tabs>
        <w:spacing w:lineRule="exact" w:line="240"/>
        <w:ind w:hanging="360" w:start="1440" w:end="0"/>
        <w:rPr>
          <w:sz w:val="24"/>
          <w:szCs w:val="24"/>
        </w:rPr>
      </w:pPr>
      <w:r>
        <w:rPr>
          <w:b/>
          <w:bCs/>
          <w:sz w:val="24"/>
          <w:szCs w:val="24"/>
        </w:rPr>
        <w:t>Department Of Energy Temporary Order Directing Gas Suppliers to Sell to PG&amp;E Expires at Midnight, January 23, 2001</w:t>
      </w:r>
    </w:p>
    <w:p>
      <w:pPr>
        <w:pStyle w:val="Normal"/>
        <w:spacing w:lineRule="exact" w:line="480"/>
        <w:rPr>
          <w:sz w:val="24"/>
          <w:szCs w:val="24"/>
        </w:rPr>
      </w:pPr>
      <w:r>
        <w:rPr>
          <w:sz w:val="24"/>
          <w:szCs w:val="24"/>
        </w:rPr>
        <w:tab/>
        <w:t xml:space="preserve">On January 19, 2001, former President Clinton signed a memorandum finding that a natural gas supply emergency exists in the central and northern regions of California.  The memorandum also authorizes and directs the Secretary of Energy to use the authorities under the Natural Gas Policy Act of 1978 and the Defense Production Act of 1950 to ensure that gas is available for high-priority uses.  On the same day, the Secretary of Energy issued a temporary emergency order requiring certain natural gas suppliers to provide gas supplies to PG&amp;E.  The temporary emergency natural gas purchase and sale order expires at 3 a.m. Eastern Time on January 24, 2001.  The memorandum and the order are attached to this Application as Appendix B. </w:t>
      </w:r>
    </w:p>
    <w:p>
      <w:pPr>
        <w:pStyle w:val="Normal"/>
        <w:spacing w:lineRule="exact" w:line="240"/>
        <w:jc w:val="center"/>
        <w:rPr>
          <w:b/>
          <w:bCs/>
          <w:sz w:val="24"/>
          <w:szCs w:val="24"/>
        </w:rPr>
      </w:pPr>
      <w:r>
        <w:rPr>
          <w:b/>
          <w:bCs/>
          <w:sz w:val="24"/>
          <w:szCs w:val="24"/>
        </w:rPr>
      </w:r>
    </w:p>
    <w:p>
      <w:pPr>
        <w:pStyle w:val="Normal"/>
        <w:numPr>
          <w:ilvl w:val="0"/>
          <w:numId w:val="4"/>
        </w:numPr>
        <w:tabs>
          <w:tab w:val="clear" w:pos="720"/>
          <w:tab w:val="left" w:pos="0" w:leader="none"/>
        </w:tabs>
        <w:spacing w:lineRule="exact" w:line="240"/>
        <w:ind w:hanging="360" w:start="1440" w:end="0"/>
        <w:rPr>
          <w:sz w:val="24"/>
          <w:szCs w:val="24"/>
        </w:rPr>
      </w:pPr>
      <w:r>
        <w:rPr>
          <w:b/>
          <w:bCs/>
          <w:sz w:val="24"/>
          <w:szCs w:val="24"/>
        </w:rPr>
        <w:t>A Security Interest in Account Receivables for Gas Purchases May Enable PG&amp;E to Contract for Needed Core Gas Supplies</w:t>
      </w:r>
    </w:p>
    <w:p>
      <w:pPr>
        <w:pStyle w:val="Normal"/>
        <w:spacing w:lineRule="exact" w:line="480"/>
        <w:rPr>
          <w:sz w:val="24"/>
          <w:szCs w:val="24"/>
        </w:rPr>
      </w:pPr>
      <w:r>
        <w:rPr>
          <w:sz w:val="24"/>
          <w:szCs w:val="24"/>
        </w:rPr>
        <w:tab/>
        <w:t>The Secretary of Energy’s January 19 order provides much needed temporary assistance, but it expires in a few days.  PG&amp;E’s gas system and core customers still face a potentially catastrophic emergency soon.  PG&amp;E continues to hunt for ways to keep core gas flowing to the customers in its service area.  Through discussions with several gas producers, PG&amp;E believes that it can obtain gas to meet a substantial portion of its core customers’ needs if it can promptly give the gas producers a sufficient secured interest in PG&amp;E’s customer account receivables.  Therefore, PG&amp;E submits this Application for permission to use its existing and future customer account receivables and customer accounts to secure or finance its core gas purchases.</w:t>
      </w:r>
    </w:p>
    <w:p>
      <w:pPr>
        <w:pStyle w:val="Normal"/>
        <w:spacing w:lineRule="exact" w:line="480"/>
        <w:ind w:firstLine="720" w:end="0"/>
        <w:rPr>
          <w:sz w:val="24"/>
          <w:szCs w:val="24"/>
        </w:rPr>
      </w:pPr>
      <w:r>
        <w:rPr>
          <w:b/>
          <w:bCs/>
          <w:sz w:val="24"/>
          <w:szCs w:val="24"/>
        </w:rPr>
        <w:t>4.  Immediate Commission Action Is Needed Now</w:t>
      </w:r>
    </w:p>
    <w:p>
      <w:pPr>
        <w:pStyle w:val="Normal"/>
        <w:spacing w:lineRule="exact" w:line="480"/>
        <w:rPr>
          <w:sz w:val="24"/>
          <w:szCs w:val="24"/>
        </w:rPr>
      </w:pPr>
      <w:r>
        <w:rPr>
          <w:sz w:val="24"/>
          <w:szCs w:val="24"/>
        </w:rPr>
        <w:tab/>
        <w:t xml:space="preserve">Due to the emergency arising from the immediate danger to core gas supply and the gas system, PG&amp;E requests that the Commission rule on this Petition at its special January 26, 2001 meeting and grant the request.  If the Petition cannot be added to the January 26, 2001 meeting, PG&amp;E requests the Commission schedule a special meeting for the week of January 29, 2001 to act on PG&amp;E’s request. </w:t>
      </w:r>
    </w:p>
    <w:p>
      <w:pPr>
        <w:pStyle w:val="Heading1"/>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II.  PROCEDURAL BACKGROUND</w:t>
      </w:r>
    </w:p>
    <w:p>
      <w:pPr>
        <w:pStyle w:val="Normal"/>
        <w:spacing w:lineRule="exact" w:line="480"/>
        <w:rPr>
          <w:sz w:val="24"/>
          <w:szCs w:val="24"/>
        </w:rPr>
      </w:pPr>
      <w:r>
        <w:rPr>
          <w:sz w:val="24"/>
          <w:szCs w:val="24"/>
        </w:rPr>
        <w:tab/>
        <w:t>In Application 00-10-029, filed October 18, 2000, PG&amp;E sought permission, among other things, to issue $2 billion of additional long-term debt to finance continuing undercollections attributable to wholesale energy procurement costs and for general corporate purposes.  In D.00-12-064, the Commission granted in part and denied in part, the requested authority sought in A. 00-10-064.  The Commission authorized PG&amp;E to issue an additional $2 billion in long-term debt for the purpose of financing the purchase of wholesale electricity for delivery to its retail customers, and the use of $370 million of the $2 billion for the purposes listed in PU Code section 817 (other than the purchase of PG&amp;E stock), if PG&amp;E does not need the $370 million to finance its Transition Balancing Account undercollection.</w:t>
      </w:r>
    </w:p>
    <w:p>
      <w:pPr>
        <w:pStyle w:val="Normal"/>
        <w:spacing w:lineRule="exact" w:line="480"/>
        <w:rPr>
          <w:sz w:val="24"/>
          <w:szCs w:val="24"/>
        </w:rPr>
      </w:pPr>
      <w:r>
        <w:rPr>
          <w:sz w:val="24"/>
          <w:szCs w:val="24"/>
        </w:rPr>
        <w:tab/>
        <w:t>On December 29, 2000, PG&amp;E filed a petition to amended D. 00-12-064 to allow PG&amp;E to issue $4 billion to finance the purchase of wholesale electricity for delivery to its retail customers, in addition to the $2 billion initially authorized by D. 00-12-064, to permit all types of debt used to finance PG&amp;E’s wholesale energy procurement cost undercollections to be excluded from PG&amp;E’s authorized capital structure, and to permit the issuance of accounts receivable financing thereunder.  PG&amp;E also requested authorization under Public Utilities Code section 851 to mortgage and encumber the accounts receivable as part of the requested financing authority.  The Petition to Modify is before the Commission for decision at its January 26, 2001, decision conference.</w:t>
      </w:r>
    </w:p>
    <w:p>
      <w:pPr>
        <w:pStyle w:val="Heading1"/>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III.  MODIFICATION SOUGHT</w:t>
      </w:r>
    </w:p>
    <w:p>
      <w:pPr>
        <w:pStyle w:val="Normal"/>
        <w:spacing w:lineRule="exact" w:line="480"/>
        <w:rPr>
          <w:sz w:val="24"/>
          <w:szCs w:val="24"/>
        </w:rPr>
      </w:pPr>
      <w:r>
        <w:rPr>
          <w:sz w:val="24"/>
          <w:szCs w:val="24"/>
        </w:rPr>
        <w:tab/>
        <w:t xml:space="preserve">Pursuant to Rule 47 of the Commission’s Rules of Practice and Procedure, PG&amp;E seeks modification of D. 00-12-064 to permit PG&amp;E to use existing and future customer gas and electric account receivables and customer accounts to provide a security interest, subject to PG&amp;E’s Mortgage, for the purchase and acquisition of core gas supply, including storage injection gas for core.  </w:t>
      </w:r>
    </w:p>
    <w:p>
      <w:pPr>
        <w:pStyle w:val="Normal"/>
        <w:spacing w:lineRule="exact" w:line="480"/>
        <w:rPr>
          <w:sz w:val="24"/>
          <w:szCs w:val="24"/>
        </w:rPr>
      </w:pPr>
      <w:r>
        <w:rPr>
          <w:sz w:val="24"/>
          <w:szCs w:val="24"/>
        </w:rPr>
        <w:tab/>
        <w:t>Because providing a security interest in customer account receivables and customer accounts would be an encumbrance on PG&amp;E’s properties, PG&amp;E requests authorization under Public Utilities Code section 851 to encumber and dispose of this utility property.</w:t>
      </w:r>
    </w:p>
    <w:p>
      <w:pPr>
        <w:pStyle w:val="Heading1"/>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IV.  REQUEST FOR WAIVERS</w:t>
      </w:r>
    </w:p>
    <w:p>
      <w:pPr>
        <w:pStyle w:val="Normal"/>
        <w:spacing w:lineRule="exact" w:line="480"/>
        <w:rPr>
          <w:sz w:val="24"/>
          <w:szCs w:val="24"/>
        </w:rPr>
      </w:pPr>
      <w:r>
        <w:rPr>
          <w:sz w:val="24"/>
          <w:szCs w:val="24"/>
        </w:rPr>
        <w:tab/>
        <w:t>Rule 47(f) o the Commission’s Rules of Practice and Procedure permits the assigned Administrative Law Judge to set a date for the filing of responses to a petition to modify other than the 30 day period specified in Rule 47(f).  PG&amp;E requests that the Administrative Law Judge assigned this Petition waive (or, in the alternative, shorten to 2 calendar days) the 30 day period during which responses to this Petition must be filed and served.  This request is based on (1) the urgency and magnitude of the gas crisis developing in PG&amp;E’s Northern and Central California service area, which is described in PG&amp;E’s January 18, 2001 Emergency Application for an Immediate Finding of a Gas Supply Emergency and an Order Directing Southern California Gas Company to Provide Mutual Assistance and has been recognized by former President Clinton and the Secretary of Energy on January 19, 2001, and the need for PG&amp;E to provide security as expeditiously as possible for the acquisition of core gas supply.</w:t>
      </w:r>
    </w:p>
    <w:p>
      <w:pPr>
        <w:pStyle w:val="Normal"/>
        <w:spacing w:lineRule="exact" w:line="480"/>
        <w:rPr>
          <w:sz w:val="24"/>
          <w:szCs w:val="24"/>
        </w:rPr>
      </w:pPr>
      <w:r>
        <w:rPr>
          <w:sz w:val="24"/>
          <w:szCs w:val="24"/>
        </w:rPr>
        <w:tab/>
        <w:t>Further, in the event this Petition is uncontested and the Commission grants the relief requested, PG&amp;E requests, pursuant to Public Utilities Code section 311(g)(2) and Rule 77.7(g) of the Commission’s Rules of Practice and Procedure, that the Commission waive the 30 day period for public review and comment.</w:t>
      </w:r>
    </w:p>
    <w:p>
      <w:pPr>
        <w:pStyle w:val="Normal"/>
        <w:spacing w:lineRule="exact" w:line="480"/>
        <w:rPr>
          <w:sz w:val="24"/>
          <w:szCs w:val="24"/>
        </w:rPr>
      </w:pPr>
      <w:r>
        <w:rPr>
          <w:sz w:val="24"/>
          <w:szCs w:val="24"/>
        </w:rPr>
        <w:tab/>
        <w:t>In the event this Petition is contested or in the event the Petition is uncontested but the Commission does not grant the relief requested, PG&amp;E requests pursuant to Rule 77.7(f) (9) and Rule 77.7(g) that the Commission reduce the 30 day public review and comment period to two business days from the date of the e-mail transmission of the draft decision.</w:t>
      </w:r>
    </w:p>
    <w:p>
      <w:pPr>
        <w:pStyle w:val="Normal"/>
        <w:spacing w:lineRule="exact" w:line="480"/>
        <w:rPr>
          <w:sz w:val="24"/>
          <w:szCs w:val="24"/>
        </w:rPr>
      </w:pPr>
      <w:r>
        <w:rPr>
          <w:sz w:val="24"/>
          <w:szCs w:val="24"/>
        </w:rPr>
        <w:tab/>
        <w:t>With respect to the latter situation, PG&amp;E hereby stipulates pursuant to Public Utilities Code section 311(g)(2) and Rule 77.7(g) to the shortening of the 30 day public review and comment period.  With respect to the former situation, Rule 77.7(f)(9) permits the Commission, upon a determination of public necessity, to reduce or waive the 30 day public comment period.  Pending resolution of the energy crisis and the related financial Armageddon, it is a matter of public necessity that PG&amp;E be given all necessary authority to provide financial assurances and/or security interests to continue to obtain core gas supplies for its gas system.  Allowing interested parties two business days to review and comment on a proposed decision in the matter of this Petition is adequate under the emergency conditions facing the gas system and core customers.</w:t>
      </w:r>
    </w:p>
    <w:p>
      <w:pPr>
        <w:pStyle w:val="Normal"/>
        <w:spacing w:lineRule="exact" w:line="480"/>
        <w:rPr>
          <w:sz w:val="24"/>
          <w:szCs w:val="24"/>
        </w:rPr>
      </w:pPr>
      <w:r>
        <w:rPr>
          <w:sz w:val="24"/>
          <w:szCs w:val="24"/>
        </w:rPr>
        <w:tab/>
        <w:t xml:space="preserve">Moreover, failure to shorten the 30 day public review and comment period could mean that the authorization requested in the Petition would not be forthcoming for several months.  PG&amp;E does not have several months to avoid catastrophic conditions from materializing on its gas system.  </w:t>
      </w:r>
    </w:p>
    <w:p>
      <w:pPr>
        <w:pStyle w:val="Heading1"/>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V.  CONCLUSION</w:t>
      </w:r>
    </w:p>
    <w:p>
      <w:pPr>
        <w:pStyle w:val="Normal"/>
        <w:spacing w:lineRule="exact" w:line="480"/>
        <w:rPr>
          <w:sz w:val="24"/>
          <w:szCs w:val="24"/>
        </w:rPr>
      </w:pPr>
      <w:r>
        <w:rPr>
          <w:sz w:val="24"/>
          <w:szCs w:val="24"/>
        </w:rPr>
        <w:tab/>
        <w:t xml:space="preserve">WHEREFORE, Pacific Gas and Electric Company respectfully requests that the Public Utility Commission of the State of California duly issue its order, on an expedited, emergency basis, modifying D. 00-12-064 to permit the use of PG&amp;E’s existing and future gas and electric customer account receivables and customer accounts to secure and/or finance purchase of core gas supplies for its gas system, and to authorize PG&amp;E under Section 851 to encumber the customer account </w:t>
      </w:r>
    </w:p>
    <w:p>
      <w:pPr>
        <w:pStyle w:val="Normal"/>
        <w:spacing w:lineRule="exact" w:line="480"/>
        <w:rPr>
          <w:sz w:val="24"/>
          <w:szCs w:val="24"/>
        </w:rPr>
      </w:pPr>
      <w:r>
        <w:rPr>
          <w:sz w:val="24"/>
          <w:szCs w:val="24"/>
        </w:rPr>
        <w:t>///</w:t>
      </w:r>
    </w:p>
    <w:p>
      <w:pPr>
        <w:pStyle w:val="Normal"/>
        <w:spacing w:lineRule="exact" w:line="480"/>
        <w:rPr>
          <w:sz w:val="24"/>
          <w:szCs w:val="24"/>
        </w:rPr>
      </w:pPr>
      <w:r>
        <w:rPr>
          <w:sz w:val="24"/>
          <w:szCs w:val="24"/>
        </w:rPr>
        <w:t>///</w:t>
      </w:r>
    </w:p>
    <w:p>
      <w:pPr>
        <w:pStyle w:val="Normal"/>
        <w:spacing w:lineRule="exact" w:line="480"/>
        <w:rPr>
          <w:sz w:val="24"/>
          <w:szCs w:val="24"/>
        </w:rPr>
      </w:pPr>
      <w:r>
        <w:rPr>
          <w:sz w:val="24"/>
          <w:szCs w:val="24"/>
        </w:rPr>
        <w:t>///</w:t>
      </w:r>
      <w:r>
        <w:br w:type="page"/>
      </w:r>
    </w:p>
    <w:p>
      <w:pPr>
        <w:pStyle w:val="Normal"/>
        <w:spacing w:lineRule="exact" w:line="480"/>
        <w:rPr>
          <w:sz w:val="24"/>
          <w:szCs w:val="24"/>
        </w:rPr>
      </w:pPr>
      <w:r>
        <w:rPr>
          <w:sz w:val="24"/>
          <w:szCs w:val="24"/>
        </w:rPr>
        <w:t>receivables and customer accounts for that purpose .  In all other respects, D. 00-12-064 is to remain in full force and effect.</w:t>
      </w:r>
    </w:p>
    <w:p>
      <w:pPr>
        <w:pStyle w:val="Normal"/>
        <w:keepNext w:val="true"/>
        <w:keepLines/>
        <w:ind w:start="3330" w:end="0"/>
        <w:rPr>
          <w:sz w:val="24"/>
          <w:szCs w:val="24"/>
        </w:rPr>
      </w:pPr>
      <w:r>
        <w:rPr>
          <w:sz w:val="24"/>
          <w:szCs w:val="24"/>
        </w:rPr>
      </w:r>
      <w:bookmarkStart w:id="1" w:name="SignaturePleadingCPUC"/>
      <w:bookmarkStart w:id="2" w:name="SignaturePleadingCPUC"/>
      <w:bookmarkEnd w:id="2"/>
    </w:p>
    <w:p>
      <w:pPr>
        <w:pStyle w:val="Normal"/>
        <w:keepNext w:val="true"/>
        <w:keepLines/>
        <w:ind w:start="3330" w:end="0"/>
        <w:rPr>
          <w:sz w:val="24"/>
          <w:szCs w:val="24"/>
        </w:rPr>
      </w:pPr>
      <w:r>
        <w:rPr>
          <w:sz w:val="24"/>
          <w:szCs w:val="24"/>
        </w:rPr>
      </w:r>
    </w:p>
    <w:p>
      <w:pPr>
        <w:pStyle w:val="Normal"/>
        <w:keepNext w:val="true"/>
        <w:keepLines/>
        <w:ind w:start="3330" w:end="0"/>
        <w:rPr>
          <w:sz w:val="24"/>
          <w:szCs w:val="24"/>
        </w:rPr>
      </w:pPr>
      <w:r>
        <w:rPr>
          <w:sz w:val="24"/>
          <w:szCs w:val="24"/>
        </w:rPr>
        <w:t>Respectfully submitted,</w:t>
      </w:r>
    </w:p>
    <w:p>
      <w:pPr>
        <w:pStyle w:val="Normal"/>
        <w:keepNext w:val="true"/>
        <w:keepLines/>
        <w:ind w:start="3330" w:end="0"/>
        <w:rPr>
          <w:sz w:val="24"/>
          <w:szCs w:val="24"/>
        </w:rPr>
      </w:pPr>
      <w:r>
        <w:rPr>
          <w:sz w:val="24"/>
          <w:szCs w:val="24"/>
        </w:rPr>
      </w:r>
    </w:p>
    <w:p>
      <w:pPr>
        <w:pStyle w:val="Normal"/>
        <w:keepNext w:val="true"/>
        <w:keepLines/>
        <w:ind w:start="3330" w:end="0"/>
        <w:rPr>
          <w:sz w:val="24"/>
          <w:szCs w:val="24"/>
        </w:rPr>
      </w:pPr>
      <w:r>
        <w:rPr>
          <w:sz w:val="24"/>
          <w:szCs w:val="24"/>
        </w:rPr>
      </w:r>
    </w:p>
    <w:p>
      <w:pPr>
        <w:pStyle w:val="Normal"/>
        <w:keepNext w:val="true"/>
        <w:keepLines/>
        <w:ind w:start="3330" w:end="0"/>
        <w:rPr>
          <w:sz w:val="24"/>
          <w:szCs w:val="24"/>
        </w:rPr>
      </w:pPr>
      <w:r>
        <w:rPr>
          <w:sz w:val="24"/>
          <w:szCs w:val="24"/>
        </w:rPr>
      </w:r>
    </w:p>
    <w:p>
      <w:pPr>
        <w:pStyle w:val="Normal"/>
        <w:keepNext w:val="true"/>
        <w:keepLines/>
        <w:ind w:start="3330" w:end="0"/>
        <w:rPr>
          <w:sz w:val="24"/>
          <w:szCs w:val="24"/>
        </w:rPr>
      </w:pPr>
      <w:r>
        <w:rPr>
          <w:sz w:val="24"/>
          <w:szCs w:val="24"/>
        </w:rPr>
      </w:r>
    </w:p>
    <w:p>
      <w:pPr>
        <w:pStyle w:val="Normal"/>
        <w:keepNext w:val="true"/>
        <w:keepLines/>
        <w:ind w:start="3330" w:end="0"/>
        <w:rPr>
          <w:sz w:val="24"/>
          <w:szCs w:val="24"/>
        </w:rPr>
      </w:pPr>
      <w:r>
        <w:rPr>
          <w:sz w:val="24"/>
          <w:szCs w:val="24"/>
        </w:rPr>
        <w:t>/S/ KENT M. HARVEY</w:t>
      </w:r>
    </w:p>
    <w:p>
      <w:pPr>
        <w:pStyle w:val="Normal"/>
        <w:keepNext w:val="true"/>
        <w:keepLines/>
        <w:ind w:start="3330" w:end="0"/>
        <w:rPr>
          <w:sz w:val="24"/>
          <w:szCs w:val="24"/>
        </w:rPr>
      </w:pPr>
      <w:r>
        <w:rPr>
          <w:sz w:val="24"/>
          <w:szCs w:val="24"/>
        </w:rPr>
        <w:t xml:space="preserve">________________________________________________         </w:t>
      </w:r>
    </w:p>
    <w:p>
      <w:pPr>
        <w:pStyle w:val="Normal"/>
        <w:keepNext w:val="true"/>
        <w:keepLines/>
        <w:ind w:start="3330" w:end="0"/>
        <w:rPr>
          <w:sz w:val="24"/>
          <w:szCs w:val="24"/>
        </w:rPr>
      </w:pPr>
      <w:r>
        <w:rPr>
          <w:sz w:val="24"/>
          <w:szCs w:val="24"/>
        </w:rPr>
        <w:t>KENT M. HARVEY</w:t>
      </w:r>
    </w:p>
    <w:p>
      <w:pPr>
        <w:pStyle w:val="Normal"/>
        <w:keepNext w:val="true"/>
        <w:keepLines/>
        <w:ind w:start="3330" w:end="0"/>
        <w:rPr>
          <w:sz w:val="24"/>
          <w:szCs w:val="24"/>
        </w:rPr>
      </w:pPr>
      <w:r>
        <w:rPr>
          <w:sz w:val="24"/>
          <w:szCs w:val="24"/>
        </w:rPr>
        <w:t>Senior Vice President, Chief Financial Officer and Treasurer</w:t>
      </w:r>
    </w:p>
    <w:p>
      <w:pPr>
        <w:pStyle w:val="Normal"/>
        <w:keepNext w:val="true"/>
        <w:keepLines/>
        <w:ind w:start="3330" w:end="0"/>
        <w:rPr>
          <w:sz w:val="24"/>
          <w:szCs w:val="24"/>
        </w:rPr>
      </w:pPr>
      <w:r>
        <w:rPr>
          <w:sz w:val="24"/>
          <w:szCs w:val="24"/>
        </w:rPr>
        <w:t>PACIFIC GAS AND ELECTRIC COMPANY</w:t>
      </w:r>
    </w:p>
    <w:p>
      <w:pPr>
        <w:pStyle w:val="Normal"/>
        <w:keepNext w:val="true"/>
        <w:keepLines/>
        <w:ind w:start="3330" w:end="0"/>
        <w:rPr>
          <w:sz w:val="24"/>
          <w:szCs w:val="24"/>
        </w:rPr>
      </w:pPr>
      <w:r>
        <w:rPr>
          <w:sz w:val="24"/>
          <w:szCs w:val="24"/>
        </w:rPr>
      </w:r>
    </w:p>
    <w:p>
      <w:pPr>
        <w:pStyle w:val="Normal"/>
        <w:keepNext w:val="true"/>
        <w:keepLines/>
        <w:ind w:start="3330" w:end="0"/>
        <w:rPr>
          <w:sz w:val="24"/>
          <w:szCs w:val="24"/>
        </w:rPr>
      </w:pPr>
      <w:r>
        <w:rPr>
          <w:sz w:val="24"/>
          <w:szCs w:val="24"/>
        </w:rPr>
      </w:r>
    </w:p>
    <w:p>
      <w:pPr>
        <w:pStyle w:val="Normal"/>
        <w:keepNext w:val="true"/>
        <w:keepLines/>
        <w:ind w:start="3330" w:end="0"/>
        <w:rPr>
          <w:sz w:val="24"/>
          <w:szCs w:val="24"/>
        </w:rPr>
      </w:pPr>
      <w:r>
        <w:rPr>
          <w:sz w:val="24"/>
          <w:szCs w:val="24"/>
        </w:rPr>
      </w:r>
    </w:p>
    <w:p>
      <w:pPr>
        <w:pStyle w:val="Normal"/>
        <w:keepNext w:val="true"/>
        <w:keepLines/>
        <w:rPr>
          <w:sz w:val="24"/>
          <w:szCs w:val="24"/>
        </w:rPr>
      </w:pPr>
      <w:r>
        <w:rPr>
          <w:sz w:val="24"/>
          <w:szCs w:val="24"/>
        </w:rPr>
      </w:r>
    </w:p>
    <w:p>
      <w:pPr>
        <w:pStyle w:val="Normal"/>
        <w:keepNext w:val="true"/>
        <w:keepLines/>
        <w:rPr>
          <w:sz w:val="24"/>
          <w:szCs w:val="24"/>
        </w:rPr>
      </w:pPr>
      <w:r>
        <w:rPr>
          <w:sz w:val="24"/>
          <w:szCs w:val="24"/>
        </w:rPr>
      </w:r>
    </w:p>
    <w:p>
      <w:pPr>
        <w:pStyle w:val="Normal"/>
        <w:keepNext w:val="true"/>
        <w:keepLines/>
        <w:rPr>
          <w:sz w:val="24"/>
          <w:szCs w:val="24"/>
        </w:rPr>
      </w:pPr>
      <w:r>
        <w:rPr>
          <w:sz w:val="24"/>
          <w:szCs w:val="24"/>
        </w:rPr>
        <w:t>CHRISTOPHER J. WARNER</w:t>
      </w:r>
    </w:p>
    <w:p>
      <w:pPr>
        <w:pStyle w:val="Normal"/>
        <w:keepNext w:val="true"/>
        <w:keepLines/>
        <w:rPr>
          <w:sz w:val="24"/>
          <w:szCs w:val="24"/>
        </w:rPr>
      </w:pPr>
      <w:r>
        <w:rPr>
          <w:sz w:val="24"/>
          <w:szCs w:val="24"/>
        </w:rPr>
        <w:t>DOREEN A LUDEMANN</w:t>
      </w:r>
    </w:p>
    <w:p>
      <w:pPr>
        <w:pStyle w:val="Normal"/>
        <w:keepNext w:val="true"/>
        <w:keepLines/>
        <w:rPr>
          <w:sz w:val="24"/>
          <w:szCs w:val="24"/>
        </w:rPr>
      </w:pPr>
      <w:r>
        <w:rPr>
          <w:sz w:val="24"/>
          <w:szCs w:val="24"/>
        </w:rPr>
        <w:t>SHIRLEY A. WOO</w:t>
      </w:r>
    </w:p>
    <w:p>
      <w:pPr>
        <w:pStyle w:val="Normal"/>
        <w:keepNext w:val="true"/>
        <w:keepLines/>
        <w:rPr>
          <w:sz w:val="24"/>
          <w:szCs w:val="24"/>
        </w:rPr>
      </w:pPr>
      <w:r>
        <w:rPr>
          <w:sz w:val="24"/>
          <w:szCs w:val="24"/>
        </w:rPr>
        <w:t>ROBERT M. MONTI</w:t>
      </w:r>
    </w:p>
    <w:p>
      <w:pPr>
        <w:pStyle w:val="Normal"/>
        <w:keepNext w:val="true"/>
        <w:keepLines/>
        <w:rPr>
          <w:sz w:val="24"/>
          <w:szCs w:val="24"/>
        </w:rPr>
      </w:pPr>
      <w:r>
        <w:rPr>
          <w:sz w:val="24"/>
          <w:szCs w:val="24"/>
        </w:rPr>
      </w:r>
    </w:p>
    <w:p>
      <w:pPr>
        <w:pStyle w:val="Normal"/>
        <w:keepNext w:val="true"/>
        <w:keepLines/>
        <w:rPr>
          <w:sz w:val="24"/>
          <w:szCs w:val="24"/>
        </w:rPr>
      </w:pPr>
      <w:r>
        <w:rPr>
          <w:sz w:val="24"/>
          <w:szCs w:val="24"/>
        </w:rPr>
      </w:r>
    </w:p>
    <w:p>
      <w:pPr>
        <w:pStyle w:val="Normal"/>
        <w:keepNext w:val="true"/>
        <w:keepLines/>
        <w:rPr>
          <w:sz w:val="24"/>
          <w:szCs w:val="24"/>
        </w:rPr>
      </w:pPr>
      <w:r>
        <w:rPr>
          <w:sz w:val="24"/>
          <w:szCs w:val="24"/>
        </w:rPr>
      </w:r>
    </w:p>
    <w:p>
      <w:pPr>
        <w:pStyle w:val="Normal"/>
        <w:keepNext w:val="true"/>
        <w:keepLines/>
        <w:tabs>
          <w:tab w:val="clear" w:pos="720"/>
          <w:tab w:val="left" w:pos="7920" w:leader="none"/>
        </w:tabs>
        <w:spacing w:lineRule="atLeast" w:line="240"/>
        <w:rPr/>
      </w:pPr>
      <w:r>
        <w:rPr>
          <w:sz w:val="24"/>
          <w:szCs w:val="24"/>
        </w:rPr>
        <w:t>By</w:t>
      </w:r>
      <w:r>
        <w:rPr>
          <w:sz w:val="24"/>
          <w:szCs w:val="24"/>
          <w:u w:val="single"/>
        </w:rPr>
        <w:t>/S/ SHIRLEY A. WOO</w:t>
      </w:r>
    </w:p>
    <w:p>
      <w:pPr>
        <w:pStyle w:val="Normal"/>
        <w:keepNext w:val="true"/>
        <w:keepLines/>
        <w:tabs>
          <w:tab w:val="clear" w:pos="720"/>
          <w:tab w:val="center" w:pos="5760" w:leader="none"/>
          <w:tab w:val="left" w:pos="7560" w:leader="none"/>
        </w:tabs>
        <w:rPr>
          <w:sz w:val="24"/>
          <w:szCs w:val="24"/>
        </w:rPr>
      </w:pPr>
      <w:r>
        <w:rPr>
          <w:sz w:val="24"/>
          <w:szCs w:val="24"/>
        </w:rPr>
        <w:t xml:space="preserve">     </w:t>
      </w:r>
      <w:r>
        <w:rPr>
          <w:sz w:val="24"/>
          <w:szCs w:val="24"/>
        </w:rPr>
        <w:t>SHIRLEY A. WOO</w:t>
      </w:r>
    </w:p>
    <w:p>
      <w:pPr>
        <w:pStyle w:val="Normal"/>
        <w:keepNext w:val="true"/>
        <w:keepLines/>
        <w:tabs>
          <w:tab w:val="clear" w:pos="720"/>
          <w:tab w:val="center" w:pos="5760" w:leader="none"/>
          <w:tab w:val="left" w:pos="7560" w:leader="none"/>
        </w:tabs>
        <w:rPr>
          <w:sz w:val="24"/>
          <w:szCs w:val="24"/>
        </w:rPr>
      </w:pPr>
      <w:r>
        <w:rPr>
          <w:sz w:val="24"/>
          <w:szCs w:val="24"/>
        </w:rPr>
      </w:r>
    </w:p>
    <w:p>
      <w:pPr>
        <w:pStyle w:val="Normal"/>
        <w:keepNext w:val="true"/>
        <w:keepLines/>
        <w:rPr>
          <w:sz w:val="24"/>
          <w:szCs w:val="24"/>
        </w:rPr>
      </w:pPr>
      <w:r>
        <w:rPr>
          <w:sz w:val="24"/>
          <w:szCs w:val="24"/>
        </w:rPr>
      </w:r>
    </w:p>
    <w:p>
      <w:pPr>
        <w:pStyle w:val="Normal"/>
        <w:keepNext w:val="true"/>
        <w:keepLines/>
        <w:rPr>
          <w:sz w:val="24"/>
          <w:szCs w:val="24"/>
        </w:rPr>
      </w:pPr>
      <w:r>
        <w:rPr>
          <w:sz w:val="24"/>
          <w:szCs w:val="24"/>
        </w:rPr>
        <w:t>Law Department</w:t>
      </w:r>
    </w:p>
    <w:p>
      <w:pPr>
        <w:pStyle w:val="Normal"/>
        <w:keepNext w:val="true"/>
        <w:keepLines/>
        <w:rPr>
          <w:sz w:val="24"/>
          <w:szCs w:val="24"/>
        </w:rPr>
      </w:pPr>
      <w:r>
        <w:rPr>
          <w:sz w:val="24"/>
          <w:szCs w:val="24"/>
        </w:rPr>
        <w:t>Pacific Gas and Electric Company</w:t>
      </w:r>
    </w:p>
    <w:p>
      <w:pPr>
        <w:pStyle w:val="Normal"/>
        <w:keepNext w:val="true"/>
        <w:keepLines/>
        <w:rPr>
          <w:sz w:val="24"/>
          <w:szCs w:val="24"/>
        </w:rPr>
      </w:pPr>
      <w:r>
        <w:rPr>
          <w:sz w:val="24"/>
          <w:szCs w:val="24"/>
        </w:rPr>
        <w:t>Post Office Box 7442</w:t>
      </w:r>
    </w:p>
    <w:p>
      <w:pPr>
        <w:pStyle w:val="Normal"/>
        <w:keepNext w:val="true"/>
        <w:keepLines/>
        <w:rPr>
          <w:sz w:val="24"/>
          <w:szCs w:val="24"/>
        </w:rPr>
      </w:pPr>
      <w:r>
        <w:rPr>
          <w:sz w:val="24"/>
          <w:szCs w:val="24"/>
        </w:rPr>
        <w:t>San Francisco, CA  94120</w:t>
      </w:r>
    </w:p>
    <w:p>
      <w:pPr>
        <w:pStyle w:val="Normal"/>
        <w:keepNext w:val="true"/>
        <w:keepLines/>
        <w:rPr>
          <w:sz w:val="24"/>
          <w:szCs w:val="24"/>
        </w:rPr>
      </w:pPr>
      <w:r>
        <w:rPr>
          <w:sz w:val="24"/>
          <w:szCs w:val="24"/>
        </w:rPr>
        <w:t>Telephone: (415) 973-2248</w:t>
      </w:r>
    </w:p>
    <w:p>
      <w:pPr>
        <w:pStyle w:val="Normal"/>
        <w:keepNext w:val="true"/>
        <w:keepLines/>
        <w:rPr>
          <w:sz w:val="24"/>
          <w:szCs w:val="24"/>
        </w:rPr>
      </w:pPr>
      <w:r>
        <w:rPr>
          <w:sz w:val="24"/>
          <w:szCs w:val="24"/>
        </w:rPr>
      </w:r>
    </w:p>
    <w:p>
      <w:pPr>
        <w:pStyle w:val="Normal"/>
        <w:keepNext w:val="true"/>
        <w:keepLines/>
        <w:rPr>
          <w:sz w:val="24"/>
          <w:szCs w:val="24"/>
        </w:rPr>
      </w:pPr>
      <w:r>
        <w:rPr>
          <w:sz w:val="24"/>
          <w:szCs w:val="24"/>
        </w:rPr>
        <w:t>Attorneys for</w:t>
      </w:r>
    </w:p>
    <w:p>
      <w:pPr>
        <w:pStyle w:val="Normal"/>
        <w:keepNext w:val="true"/>
        <w:keepLines/>
        <w:rPr>
          <w:sz w:val="24"/>
          <w:szCs w:val="24"/>
        </w:rPr>
      </w:pPr>
      <w:r>
        <w:rPr>
          <w:sz w:val="24"/>
          <w:szCs w:val="24"/>
        </w:rPr>
        <w:t>PACIFIC GAS AND ELECTRIC COMPANY</w:t>
      </w:r>
    </w:p>
    <w:p>
      <w:pPr>
        <w:pStyle w:val="Normal"/>
        <w:keepNext w:val="true"/>
        <w:keepLines/>
        <w:ind w:start="4680" w:end="0"/>
        <w:rPr>
          <w:sz w:val="24"/>
          <w:szCs w:val="24"/>
        </w:rPr>
      </w:pPr>
      <w:r>
        <w:rPr>
          <w:sz w:val="24"/>
          <w:szCs w:val="24"/>
        </w:rPr>
      </w:r>
    </w:p>
    <w:p>
      <w:pPr>
        <w:pStyle w:val="Normal"/>
        <w:keepLines/>
        <w:rPr>
          <w:sz w:val="24"/>
          <w:szCs w:val="24"/>
        </w:rPr>
      </w:pPr>
      <w:r>
        <w:rPr>
          <w:sz w:val="24"/>
          <w:szCs w:val="24"/>
        </w:rPr>
        <w:t>Dated: January 22, 2001</w:t>
      </w:r>
    </w:p>
    <w:p>
      <w:pPr>
        <w:pStyle w:val="Normal"/>
        <w:rPr>
          <w:sz w:val="24"/>
          <w:szCs w:val="24"/>
        </w:rPr>
      </w:pPr>
      <w:r>
        <w:rPr>
          <w:sz w:val="24"/>
          <w:szCs w:val="24"/>
        </w:rPr>
      </w:r>
      <w:bookmarkStart w:id="3" w:name="PleadingCPUCModel"/>
      <w:bookmarkStart w:id="4" w:name="SignaturePleadingCPUC"/>
      <w:bookmarkStart w:id="5" w:name="PleadingCPUCModel"/>
      <w:bookmarkStart w:id="6" w:name="SignaturePleadingCPUC"/>
      <w:bookmarkEnd w:id="5"/>
      <w:bookmarkEnd w:id="6"/>
      <w:r>
        <w:br w:type="page"/>
      </w:r>
    </w:p>
    <w:p>
      <w:pPr>
        <w:pStyle w:val="Normal"/>
        <w:rPr>
          <w:sz w:val="24"/>
          <w:szCs w:val="24"/>
        </w:rPr>
      </w:pPr>
      <w:r>
        <w:rPr>
          <w:sz w:val="24"/>
          <w:szCs w:val="24"/>
        </w:rPr>
      </w:r>
    </w:p>
    <w:p>
      <w:pPr>
        <w:pStyle w:val="Normal"/>
        <w:rPr/>
      </w:pPr>
      <w:r>
        <w:rPr/>
      </w:r>
    </w:p>
    <w:p>
      <w:pPr>
        <w:pStyle w:val="Normal"/>
        <w:jc w:val="center"/>
        <w:rPr>
          <w:sz w:val="24"/>
          <w:szCs w:val="24"/>
        </w:rPr>
      </w:pPr>
      <w:r>
        <w:rPr>
          <w:b/>
          <w:bCs/>
          <w:sz w:val="24"/>
          <w:szCs w:val="24"/>
        </w:rPr>
        <w:t>VERIFICATION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I, the undersigned, say:</w:t>
      </w:r>
    </w:p>
    <w:p>
      <w:pPr>
        <w:pStyle w:val="Normal"/>
        <w:rPr>
          <w:sz w:val="24"/>
          <w:szCs w:val="24"/>
        </w:rPr>
      </w:pPr>
      <w:r>
        <w:rPr>
          <w:sz w:val="24"/>
          <w:szCs w:val="24"/>
        </w:rPr>
      </w:r>
    </w:p>
    <w:p>
      <w:pPr>
        <w:pStyle w:val="Normal"/>
        <w:spacing w:lineRule="exact" w:line="480"/>
        <w:rPr>
          <w:sz w:val="24"/>
          <w:szCs w:val="24"/>
        </w:rPr>
      </w:pPr>
      <w:r>
        <w:rPr>
          <w:sz w:val="24"/>
          <w:szCs w:val="24"/>
        </w:rPr>
        <w:tab/>
        <w:t>I am an officer of PACIFIC GAS AND ELECTRIC COMPANY, a corporation, and am authorized to make this verification for that reason.  I have read the foregoing Second Petition for Modification and I am informed and believe the matters therein are true and on that ground I allege that the matters stated therein are true.</w:t>
      </w:r>
    </w:p>
    <w:p>
      <w:pPr>
        <w:pStyle w:val="Normal"/>
        <w:rPr>
          <w:sz w:val="24"/>
          <w:szCs w:val="24"/>
        </w:rPr>
      </w:pPr>
      <w:r>
        <w:rPr>
          <w:sz w:val="24"/>
          <w:szCs w:val="24"/>
        </w:rPr>
      </w:r>
    </w:p>
    <w:p>
      <w:pPr>
        <w:pStyle w:val="Normal"/>
        <w:rPr>
          <w:sz w:val="24"/>
          <w:szCs w:val="24"/>
        </w:rPr>
      </w:pPr>
      <w:r>
        <w:rPr>
          <w:sz w:val="24"/>
          <w:szCs w:val="24"/>
        </w:rPr>
        <w:tab/>
        <w:t>I declare under penalty of perjury that the foregoing is true and correct.</w:t>
      </w:r>
    </w:p>
    <w:p>
      <w:pPr>
        <w:pStyle w:val="Normal"/>
        <w:rPr>
          <w:sz w:val="24"/>
          <w:szCs w:val="24"/>
        </w:rPr>
      </w:pPr>
      <w:r>
        <w:rPr>
          <w:sz w:val="24"/>
          <w:szCs w:val="24"/>
        </w:rPr>
      </w:r>
    </w:p>
    <w:p>
      <w:pPr>
        <w:pStyle w:val="Normal"/>
        <w:rPr/>
      </w:pPr>
      <w:r>
        <w:rPr>
          <w:sz w:val="24"/>
          <w:szCs w:val="24"/>
        </w:rPr>
        <w:tab/>
        <w:t>Executed at San Francisco, California this 22</w:t>
      </w:r>
      <w:r>
        <w:rPr>
          <w:sz w:val="24"/>
          <w:szCs w:val="24"/>
          <w:vertAlign w:val="superscript"/>
        </w:rPr>
        <w:t>nd</w:t>
      </w:r>
      <w:r>
        <w:rPr>
          <w:sz w:val="24"/>
          <w:szCs w:val="24"/>
        </w:rPr>
        <w:t xml:space="preserve"> day of January, 2001.</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ab/>
        <w:tab/>
        <w:tab/>
        <w:tab/>
        <w:tab/>
        <w:t xml:space="preserve">_________________________________________________      </w:t>
      </w:r>
    </w:p>
    <w:p>
      <w:pPr>
        <w:pStyle w:val="Normal"/>
        <w:rPr>
          <w:sz w:val="24"/>
          <w:szCs w:val="24"/>
        </w:rPr>
      </w:pPr>
      <w:r>
        <w:rPr>
          <w:sz w:val="24"/>
          <w:szCs w:val="24"/>
        </w:rPr>
        <w:tab/>
        <w:tab/>
        <w:tab/>
        <w:tab/>
        <w:tab/>
        <w:t>KENT M. HARVEY</w:t>
      </w:r>
    </w:p>
    <w:p>
      <w:pPr>
        <w:pStyle w:val="Normal"/>
        <w:rPr>
          <w:sz w:val="24"/>
          <w:szCs w:val="24"/>
        </w:rPr>
      </w:pPr>
      <w:r>
        <w:rPr>
          <w:sz w:val="24"/>
          <w:szCs w:val="24"/>
        </w:rPr>
        <w:tab/>
        <w:tab/>
        <w:tab/>
        <w:tab/>
        <w:tab/>
        <w:t>Senior Vice President, Chief Financial Officer and Treasurer</w:t>
      </w:r>
    </w:p>
    <w:sectPr>
      <w:headerReference w:type="default" r:id="rId2"/>
      <w:headerReference w:type="first" r:id="rId3"/>
      <w:footerReference w:type="default" r:id="rId4"/>
      <w:footerReference w:type="first" r:id="rId5"/>
      <w:footnotePr>
        <w:numFmt w:val="decimal"/>
      </w:footnotePr>
      <w:type w:val="nextPage"/>
      <w:pgSz w:w="12240" w:h="15840"/>
      <w:pgMar w:left="1800" w:right="605" w:gutter="0" w:header="432" w:top="1296" w:footer="360" w:bottom="1080"/>
      <w:pgNumType w:start="0"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Courier New">
    <w:charset w:val="01"/>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figures in this paragraph do not reflect the effect of gas suppliers’ responses to the Secretary of Energy’s January 19, 2001 order, which requires suppliers to continue sales to PG&amp;E until the order expires at midnight, January 23.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26250" cy="9525000"/>
              <wp:effectExtent l="0" t="0" r="0" b="0"/>
              <wp:wrapNone/>
              <wp:docPr id="1" name="Frame2"/>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rFonts w:ascii="Times New Roman" w:hAnsi="Times New Roman" w:eastAsia="Times New Roman" w:cs="Times New Roman"/>
                                  </w:rPr>
                                </w:pPr>
                                <w:bookmarkStart w:id="7" w:name="LineNo"/>
                                <w:bookmarkEnd w:id="7"/>
                                <w:r>
                                  <w:rPr>
                                    <w:rFonts w:eastAsia="Times New Roman" w:cs="Times New Roman" w:ascii="Times New Roman" w:hAnsi="Times New Roman"/>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rFonts w:ascii="Times New Roman" w:hAnsi="Times New Roman" w:eastAsia="Times New Roman" w:cs="Times New Roman"/>
                                  </w:rPr>
                                </w:pPr>
                                <w:r>
                                  <w:rPr>
                                    <w:rFonts w:eastAsia="Times New Roman" w:cs="Times New Roman"/>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15.55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rFonts w:ascii="Times New Roman" w:hAnsi="Times New Roman" w:eastAsia="Times New Roman" w:cs="Times New Roman"/>
                            </w:rPr>
                          </w:pPr>
                          <w:bookmarkStart w:id="8" w:name="LineNo"/>
                          <w:bookmarkEnd w:id="8"/>
                          <w:r>
                            <w:rPr>
                              <w:rFonts w:eastAsia="Times New Roman" w:cs="Times New Roman" w:ascii="Times New Roman" w:hAnsi="Times New Roman"/>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rFonts w:ascii="Times New Roman" w:hAnsi="Times New Roman" w:eastAsia="Times New Roman" w:cs="Times New Roman"/>
                            </w:rPr>
                          </w:pPr>
                          <w:r>
                            <w:rPr>
                              <w:rFonts w:eastAsia="Times New Roman" w:cs="Times New Roman"/>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posOffset>635</wp:posOffset>
              </wp:positionV>
              <wp:extent cx="6826250" cy="9525000"/>
              <wp:effectExtent l="0" t="0" r="0" b="0"/>
              <wp:wrapNone/>
              <wp:docPr id="2" name="Frame1"/>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rFonts w:ascii="Times New Roman" w:hAnsi="Times New Roman" w:eastAsia="Times New Roman" w:cs="Times New Roman"/>
                                  </w:rPr>
                                </w:pPr>
                                <w:r>
                                  <w:rPr>
                                    <w:rFonts w:eastAsia="Times New Roman" w:cs="Times New Roman" w:ascii="Times New Roman" w:hAnsi="Times New Roman"/>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rFonts w:ascii="Times New Roman" w:hAnsi="Times New Roman" w:eastAsia="Times New Roman" w:cs="Times New Roman"/>
                                  </w:rPr>
                                </w:pPr>
                                <w:r>
                                  <w:rPr>
                                    <w:rFonts w:eastAsia="Times New Roman" w:cs="Times New Roman"/>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15.55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rFonts w:ascii="Times New Roman" w:hAnsi="Times New Roman" w:eastAsia="Times New Roman" w:cs="Times New Roman"/>
                            </w:rPr>
                          </w:pPr>
                          <w:r>
                            <w:rPr>
                              <w:rFonts w:eastAsia="Times New Roman" w:cs="Times New Roman" w:ascii="Times New Roman" w:hAnsi="Times New Roman"/>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rFonts w:ascii="Times New Roman" w:hAnsi="Times New Roman" w:eastAsia="Times New Roman" w:cs="Times New Roman"/>
                            </w:rPr>
                          </w:pPr>
                          <w:r>
                            <w:rPr>
                              <w:rFonts w:eastAsia="Times New Roman" w:cs="Times New Roman"/>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character" w:styleId="DefaultParagraphFont">
    <w:name w:val="Default Paragraph Font"/>
    <w:qFormat/>
    <w:rPr/>
  </w:style>
  <w:style w:type="character" w:styleId="PageNumber">
    <w:name w:val="page number"/>
    <w:basedOn w:val="DefaultParagraphFont"/>
    <w:rPr>
      <w:rFonts w:ascii="Courier New" w:hAnsi="Courier New" w:eastAsia="Courier New" w:cs="Courier New"/>
      <w:color w:val="auto"/>
      <w:spacing w:val="0"/>
      <w:kern w:val="0"/>
      <w:position w:val="0"/>
      <w:sz w:val="24"/>
      <w:sz w:val="24"/>
      <w:szCs w:val="24"/>
      <w:u w:val="none"/>
      <w:vertAlign w:val="baseline"/>
      <w:lang w:val="en-US"/>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9821" w:leader="none"/>
      </w:tabs>
      <w:spacing w:lineRule="exact" w:line="240"/>
    </w:pPr>
    <w:rPr>
      <w:rFonts w:ascii="Courier New" w:hAnsi="Courier New" w:eastAsia="Courier New" w:cs="Courier New"/>
      <w:sz w:val="24"/>
      <w:szCs w:val="24"/>
    </w:rPr>
  </w:style>
  <w:style w:type="paragraph" w:styleId="Header">
    <w:name w:val="header"/>
    <w:basedOn w:val="Normal"/>
    <w:pPr>
      <w:widowControl w:val="false"/>
      <w:tabs>
        <w:tab w:val="clear" w:pos="720"/>
        <w:tab w:val="center" w:pos="4320" w:leader="none"/>
        <w:tab w:val="right" w:pos="9821" w:leader="none"/>
      </w:tabs>
      <w:spacing w:lineRule="exact" w:line="240"/>
    </w:pPr>
    <w:rPr>
      <w:rFonts w:ascii="Courier New" w:hAnsi="Courier New" w:eastAsia="Courier New" w:cs="Courier New"/>
      <w:sz w:val="24"/>
      <w:szCs w:val="24"/>
    </w:rPr>
  </w:style>
  <w:style w:type="paragraph" w:styleId="HeaderNumbers">
    <w:name w:val="HeaderNumbers"/>
    <w:basedOn w:val="Normal"/>
    <w:qFormat/>
    <w:pPr>
      <w:spacing w:lineRule="exact" w:line="480" w:before="720" w:after="0"/>
      <w:ind w:hanging="0" w:start="0" w:end="144"/>
      <w:jc w:val="end"/>
    </w:pPr>
    <w:rPr>
      <w:rFonts w:ascii="Courier New" w:hAnsi="Courier New" w:eastAsia="Courier New" w:cs="Courier New"/>
      <w:sz w:val="24"/>
      <w:szCs w:val="24"/>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2001-01-22T15:03:00Z</dcterms:created>
  <dc:creator>Pam Dawson</dc:creator>
  <dc:description/>
  <dc:language>en-CA</dc:language>
  <cp:lastModifiedBy>Pam Dawson</cp:lastModifiedBy>
  <cp:lastPrinted>2001-01-22T14:19:00Z</cp:lastPrinted>
  <dcterms:modified xsi:type="dcterms:W3CDTF">2001-01-22T21:38:00Z</dcterms:modified>
  <cp:revision>36</cp:revision>
  <dc:subject/>
  <dc:title>BEFORE THE PUBLIC UTILITIES COMMISSION</dc:title>
</cp:coreProperties>
</file>