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jc w:val="start"/>
        <w:outlineLvl w:val="0"/>
        <w:rPr/>
      </w:pPr>
      <w:r>
        <w:rPr/>
      </w:r>
    </w:p>
    <w:p>
      <w:pPr>
        <w:pStyle w:val="Heading"/>
        <w:numPr>
          <w:ilvl w:val="0"/>
          <w:numId w:val="0"/>
        </w:numPr>
        <w:jc w:val="start"/>
        <w:outlineLvl w:val="0"/>
        <w:rPr/>
      </w:pPr>
      <w:r>
        <w:rPr/>
      </w:r>
    </w:p>
    <w:p>
      <w:pPr>
        <w:pStyle w:val="Heading"/>
        <w:numPr>
          <w:ilvl w:val="0"/>
          <w:numId w:val="0"/>
        </w:numPr>
        <w:ind w:firstLine="720" w:start="1440" w:end="0"/>
        <w:jc w:val="start"/>
        <w:outlineLvl w:val="0"/>
        <w:rPr/>
      </w:pPr>
      <w:r>
        <w:rPr/>
        <w:t>Enron Research-Technical Analysis</w:t>
      </w:r>
    </w:p>
    <w:p>
      <w:pPr>
        <w:pStyle w:val="Heading"/>
        <w:rPr>
          <w:u w:val="none"/>
        </w:rPr>
      </w:pPr>
      <w:r>
        <w:rPr>
          <w:u w:val="none"/>
        </w:rPr>
        <w:t xml:space="preserve"> </w:t>
      </w:r>
      <w:r>
        <w:rPr>
          <w:u w:val="none"/>
        </w:rPr>
        <w:t>Natural Gas Market</w:t>
      </w:r>
    </w:p>
    <w:p>
      <w:pPr>
        <w:pStyle w:val="Heading"/>
        <w:rPr>
          <w:sz w:val="24"/>
          <w:u w:val="none"/>
        </w:rPr>
      </w:pPr>
      <w:r>
        <w:rPr>
          <w:sz w:val="24"/>
          <w:u w:val="none"/>
        </w:rPr>
        <w:t>July 14, 2000</w:t>
      </w:r>
    </w:p>
    <w:p>
      <w:pPr>
        <w:pStyle w:val="Heading"/>
        <w:rPr>
          <w:sz w:val="24"/>
          <w:u w:val="none"/>
        </w:rPr>
      </w:pPr>
      <w:r>
        <w:rPr>
          <w:sz w:val="24"/>
          <w:u w:val="none"/>
        </w:rPr>
        <w:t>By Tricia Tlapek ext. 36615</w:t>
      </w:r>
    </w:p>
    <w:p>
      <w:pPr>
        <w:pStyle w:val="Heading"/>
        <w:rPr>
          <w:sz w:val="24"/>
          <w:u w:val="none"/>
        </w:rPr>
      </w:pPr>
      <w:r>
        <w:rPr>
          <w:sz w:val="24"/>
          <w:u w:val="none"/>
        </w:rPr>
      </w:r>
    </w:p>
    <w:p>
      <w:pPr>
        <w:pStyle w:val="Heading"/>
        <w:rPr>
          <w:sz w:val="24"/>
          <w:u w:val="none"/>
        </w:rPr>
      </w:pPr>
      <w:r>
        <w:rPr>
          <w:sz w:val="24"/>
          <w:u w:val="none"/>
        </w:rPr>
      </w:r>
    </w:p>
    <w:p>
      <w:pPr>
        <w:pStyle w:val="Heading"/>
        <w:rPr>
          <w:sz w:val="24"/>
          <w:u w:val="none"/>
        </w:rPr>
      </w:pPr>
      <w:r>
        <w:rPr>
          <w:sz w:val="24"/>
          <w:u w:val="none"/>
        </w:rPr>
      </w:r>
    </w:p>
    <w:p>
      <w:pPr>
        <w:pStyle w:val="Heading"/>
        <w:rPr>
          <w:sz w:val="24"/>
          <w:u w:val="none"/>
        </w:rPr>
      </w:pPr>
      <w:r>
        <w:rPr>
          <w:sz w:val="24"/>
          <w:u w:val="none"/>
        </w:rPr>
      </w:r>
    </w:p>
    <w:p>
      <w:pPr>
        <w:pStyle w:val="Heading"/>
        <w:jc w:val="start"/>
        <w:rPr>
          <w:sz w:val="24"/>
          <w:u w:val="none"/>
        </w:rPr>
      </w:pPr>
      <w:r>
        <w:rPr>
          <w:sz w:val="24"/>
          <w:u w:val="none"/>
        </w:rPr>
      </w:r>
    </w:p>
    <w:p>
      <w:pPr>
        <w:pStyle w:val="BodyText"/>
        <w:tabs>
          <w:tab w:val="clear" w:pos="720"/>
          <w:tab w:val="left" w:pos="450" w:leader="none"/>
        </w:tabs>
        <w:rPr>
          <w:sz w:val="24"/>
          <w:u w:val="none"/>
        </w:rPr>
      </w:pPr>
      <w:r>
        <w:rPr>
          <w:sz w:val="24"/>
          <w:u w:val="none"/>
        </w:rPr>
      </w:r>
    </w:p>
    <w:p>
      <w:pPr>
        <w:pStyle w:val="BodyText"/>
        <w:tabs>
          <w:tab w:val="clear" w:pos="720"/>
          <w:tab w:val="left" w:pos="450" w:leader="none"/>
        </w:tabs>
        <w:rPr/>
      </w:pPr>
      <w:r>
        <w:rPr>
          <w:sz w:val="24"/>
        </w:rPr>
        <w:t xml:space="preserve">Thus far this week the gas market has continued its sideways action, trading in a 3.91-4.36 range.  </w:t>
      </w:r>
      <w:r>
        <w:rPr>
          <w:b/>
          <w:sz w:val="24"/>
        </w:rPr>
        <w:t xml:space="preserve">At this time, the market seems to be losing momentum, rather than building momentum.  </w:t>
      </w:r>
    </w:p>
    <w:p>
      <w:pPr>
        <w:pStyle w:val="BodyText"/>
        <w:tabs>
          <w:tab w:val="clear" w:pos="720"/>
          <w:tab w:val="left" w:pos="450" w:leader="none"/>
        </w:tabs>
        <w:rPr>
          <w:b/>
          <w:sz w:val="24"/>
        </w:rPr>
      </w:pPr>
      <w:r>
        <w:rPr>
          <w:b/>
          <w:sz w:val="24"/>
        </w:rPr>
        <w:t xml:space="preserve">Some reliable indicators are showing signs of a tired market.  Until there is a change in these indicators, the market will likely trade lower before it resumes its uptrend. </w:t>
      </w:r>
    </w:p>
    <w:p>
      <w:pPr>
        <w:pStyle w:val="BodyText"/>
        <w:tabs>
          <w:tab w:val="clear" w:pos="720"/>
          <w:tab w:val="left" w:pos="450" w:leader="none"/>
        </w:tabs>
        <w:rPr>
          <w:b/>
          <w:sz w:val="24"/>
        </w:rPr>
      </w:pPr>
      <w:r>
        <w:rPr>
          <w:b/>
          <w:sz w:val="24"/>
        </w:rPr>
      </w:r>
    </w:p>
    <w:p>
      <w:pPr>
        <w:pStyle w:val="BodyText"/>
        <w:tabs>
          <w:tab w:val="clear" w:pos="720"/>
          <w:tab w:val="left" w:pos="450" w:leader="none"/>
        </w:tabs>
        <w:rPr/>
      </w:pPr>
      <w:r>
        <w:rPr>
          <w:b/>
          <w:sz w:val="24"/>
        </w:rPr>
        <w:t>The indicators,</w:t>
      </w:r>
      <w:r>
        <w:rPr>
          <w:sz w:val="24"/>
        </w:rPr>
        <w:t xml:space="preserve"> in order of their significance,</w:t>
      </w:r>
      <w:r>
        <w:rPr>
          <w:b/>
          <w:sz w:val="24"/>
        </w:rPr>
        <w:t xml:space="preserve"> include the following</w:t>
      </w:r>
      <w:r>
        <w:rPr>
          <w:sz w:val="24"/>
        </w:rPr>
        <w:t>:</w:t>
      </w:r>
    </w:p>
    <w:p>
      <w:pPr>
        <w:pStyle w:val="BodyText"/>
        <w:numPr>
          <w:ilvl w:val="0"/>
          <w:numId w:val="4"/>
        </w:numPr>
        <w:tabs>
          <w:tab w:val="clear" w:pos="720"/>
          <w:tab w:val="left" w:pos="450" w:leader="none"/>
        </w:tabs>
        <w:rPr>
          <w:sz w:val="24"/>
        </w:rPr>
      </w:pPr>
      <w:r>
        <w:rPr>
          <w:sz w:val="24"/>
        </w:rPr>
        <w:t>A potential broadening pattern, which began May 31</w:t>
      </w:r>
      <w:r>
        <w:rPr>
          <w:sz w:val="24"/>
          <w:vertAlign w:val="superscript"/>
        </w:rPr>
        <w:t xml:space="preserve">st </w:t>
      </w:r>
    </w:p>
    <w:p>
      <w:pPr>
        <w:pStyle w:val="BodyText"/>
        <w:numPr>
          <w:ilvl w:val="0"/>
          <w:numId w:val="4"/>
        </w:numPr>
        <w:tabs>
          <w:tab w:val="clear" w:pos="720"/>
          <w:tab w:val="left" w:pos="450" w:leader="none"/>
        </w:tabs>
        <w:rPr>
          <w:sz w:val="24"/>
        </w:rPr>
      </w:pPr>
      <w:r>
        <w:rPr>
          <w:sz w:val="24"/>
        </w:rPr>
        <w:t>A flattening of the price curve</w:t>
      </w:r>
    </w:p>
    <w:p>
      <w:pPr>
        <w:pStyle w:val="BodyText"/>
        <w:numPr>
          <w:ilvl w:val="0"/>
          <w:numId w:val="1"/>
        </w:numPr>
        <w:tabs>
          <w:tab w:val="clear" w:pos="720"/>
          <w:tab w:val="left" w:pos="450" w:leader="none"/>
        </w:tabs>
        <w:rPr>
          <w:sz w:val="24"/>
        </w:rPr>
      </w:pPr>
      <w:r>
        <w:rPr>
          <w:sz w:val="24"/>
        </w:rPr>
        <w:t>A crossover of the 5 and 20 day moving averages.  These have not crossed since the uptrend began January 19</w:t>
      </w:r>
      <w:r>
        <w:rPr>
          <w:sz w:val="24"/>
          <w:vertAlign w:val="superscript"/>
        </w:rPr>
        <w:t>th</w:t>
      </w:r>
      <w:r>
        <w:rPr>
          <w:sz w:val="24"/>
        </w:rPr>
        <w:t>.  (See chart below).</w:t>
      </w:r>
    </w:p>
    <w:p>
      <w:pPr>
        <w:pStyle w:val="BodyText"/>
        <w:numPr>
          <w:ilvl w:val="0"/>
          <w:numId w:val="2"/>
        </w:numPr>
        <w:tabs>
          <w:tab w:val="clear" w:pos="720"/>
          <w:tab w:val="left" w:pos="450" w:leader="none"/>
        </w:tabs>
        <w:rPr>
          <w:sz w:val="24"/>
        </w:rPr>
      </w:pPr>
      <w:r>
        <w:rPr>
          <w:sz w:val="24"/>
        </w:rPr>
        <w:t>Volume is above average on the price down days, and below average on the price up days.</w:t>
      </w:r>
    </w:p>
    <w:p>
      <w:pPr>
        <w:pStyle w:val="BodyText"/>
        <w:numPr>
          <w:ilvl w:val="0"/>
          <w:numId w:val="3"/>
        </w:numPr>
        <w:tabs>
          <w:tab w:val="clear" w:pos="720"/>
          <w:tab w:val="left" w:pos="450" w:leader="none"/>
        </w:tabs>
        <w:rPr>
          <w:sz w:val="24"/>
        </w:rPr>
      </w:pPr>
      <w:r>
        <w:rPr>
          <w:sz w:val="24"/>
        </w:rPr>
        <w:t>A deterioration of the ADX, which measures the strength of a market trend, with buy and/or sell signals given when the ADX crosses 30.  It is currently at 23.</w:t>
      </w:r>
    </w:p>
    <w:p>
      <w:pPr>
        <w:pStyle w:val="BodyText"/>
        <w:tabs>
          <w:tab w:val="clear" w:pos="720"/>
          <w:tab w:val="left" w:pos="450" w:leader="none"/>
        </w:tabs>
        <w:rPr>
          <w:sz w:val="24"/>
        </w:rPr>
      </w:pPr>
      <w:r>
        <w:rPr>
          <w:sz w:val="24"/>
        </w:rPr>
      </w:r>
    </w:p>
    <w:p>
      <w:pPr>
        <w:pStyle w:val="BodyText"/>
        <w:tabs>
          <w:tab w:val="clear" w:pos="720"/>
          <w:tab w:val="left" w:pos="450" w:leader="none"/>
        </w:tabs>
        <w:rPr>
          <w:sz w:val="24"/>
        </w:rPr>
      </w:pPr>
      <w:r>
        <w:rPr>
          <w:sz w:val="24"/>
        </w:rPr>
      </w:r>
    </w:p>
    <w:p>
      <w:pPr>
        <w:pStyle w:val="BodyText"/>
        <w:tabs>
          <w:tab w:val="clear" w:pos="720"/>
          <w:tab w:val="left" w:pos="450" w:leader="none"/>
        </w:tabs>
        <w:rPr>
          <w:sz w:val="24"/>
        </w:rPr>
      </w:pPr>
      <w:r>
        <w:rPr>
          <w:sz w:val="24"/>
        </w:rPr>
        <w:t>For the 7/13 session (August contract): Highlighted is probable trade of the day.</w:t>
      </w:r>
    </w:p>
    <w:p>
      <w:pPr>
        <w:pStyle w:val="BodyText"/>
        <w:tabs>
          <w:tab w:val="clear" w:pos="720"/>
          <w:tab w:val="left" w:pos="450" w:leader="none"/>
        </w:tabs>
        <w:rPr>
          <w:sz w:val="24"/>
        </w:rPr>
      </w:pPr>
      <w:r>
        <w:rPr>
          <w:sz w:val="24"/>
        </w:rPr>
      </w:r>
    </w:p>
    <w:p>
      <w:pPr>
        <w:pStyle w:val="BodyText"/>
        <w:tabs>
          <w:tab w:val="clear" w:pos="720"/>
          <w:tab w:val="left" w:pos="450" w:leader="none"/>
        </w:tabs>
        <w:rPr>
          <w:sz w:val="24"/>
        </w:rPr>
      </w:pPr>
      <w:r>
        <w:rPr>
          <w:sz w:val="24"/>
        </w:rPr>
        <w:t>With sustained trades above 4.20, prices should then trade up to 4.30, (daily trendline point, shown on chart).  Above 4.30, and the market will be up against the gap and resistance of 4.36-4.41.</w:t>
      </w:r>
    </w:p>
    <w:p>
      <w:pPr>
        <w:pStyle w:val="BodyText"/>
        <w:tabs>
          <w:tab w:val="clear" w:pos="720"/>
          <w:tab w:val="left" w:pos="450" w:leader="none"/>
        </w:tabs>
        <w:rPr/>
      </w:pPr>
      <w:r>
        <w:rPr>
          <w:sz w:val="24"/>
        </w:rPr>
        <w:t xml:space="preserve">With sustained trade below 4.14 (daily trendline point), prices will likely trade lower to test 4.02-4.04, yesterday’s low.  </w:t>
      </w:r>
      <w:r>
        <w:rPr>
          <w:b/>
          <w:sz w:val="24"/>
        </w:rPr>
        <w:t>Below 4.02, prices will likely decline through the July 12 low of 3.91.</w:t>
      </w:r>
    </w:p>
    <w:p>
      <w:pPr>
        <w:pStyle w:val="BodyText"/>
        <w:tabs>
          <w:tab w:val="clear" w:pos="720"/>
          <w:tab w:val="left" w:pos="450" w:leader="none"/>
        </w:tabs>
        <w:rPr>
          <w:b/>
          <w:sz w:val="24"/>
        </w:rPr>
      </w:pPr>
      <w:r>
        <w:rPr>
          <w:b/>
          <w:sz w:val="24"/>
        </w:rPr>
      </w:r>
    </w:p>
    <w:p>
      <w:pPr>
        <w:pStyle w:val="BodyText"/>
        <w:tabs>
          <w:tab w:val="clear" w:pos="720"/>
          <w:tab w:val="left" w:pos="450" w:leader="none"/>
        </w:tabs>
        <w:rPr>
          <w:sz w:val="24"/>
        </w:rPr>
      </w:pPr>
      <w:r>
        <w:rPr>
          <w:sz w:val="24"/>
        </w:rPr>
        <w:t>Market Position as of 7/13: NO POSITION/FLAT</w:t>
      </w:r>
    </w:p>
    <w:p>
      <w:pPr>
        <w:pStyle w:val="BodyText"/>
        <w:tabs>
          <w:tab w:val="clear" w:pos="720"/>
          <w:tab w:val="left" w:pos="450" w:leader="none"/>
        </w:tabs>
        <w:rPr>
          <w:sz w:val="24"/>
        </w:rPr>
      </w:pPr>
      <w:r>
        <w:rPr>
          <w:sz w:val="24"/>
        </w:rPr>
        <w:object w:dxaOrig="14423" w:dyaOrig="1038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1.2pt;margin-top:-603.65pt;width:568.8pt;height:597.6pt;mso-wrap-distance-left:9.05pt;mso-wrap-distance-right:9.05pt;mso-position-horizontal-relative:text;mso-position-vertical-relative:text" filled="f" o:ole="">
            <v:imagedata r:id="rId3" o:title=""/>
            <w10:wrap type="topAndBottom"/>
          </v:shape>
          <o:OLEObject Type="Embed" ProgID="" ShapeID="ole_rId2" DrawAspect="Content" ObjectID="_550019046" r:id="rId2"/>
        </w:object>
      </w:r>
    </w:p>
    <w:sectPr>
      <w:type w:val="nextPage"/>
      <w:pgSz w:w="12240" w:h="15840"/>
      <w:pgMar w:left="1800" w:right="1800" w:gutter="0" w:header="0" w:top="81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color w:val="0000FF"/>
      <w:sz w:val="28"/>
      <w:u w:val="single"/>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2000-07-13T19:36:00Z</dcterms:created>
  <dc:creator>ssion</dc:creator>
  <dc:description/>
  <dc:language>en-CA</dc:language>
  <cp:lastModifiedBy>ssion</cp:lastModifiedBy>
  <cp:lastPrinted>2000-07-13T19:51:00Z</cp:lastPrinted>
  <dcterms:modified xsi:type="dcterms:W3CDTF">2000-07-13T22:22:00Z</dcterms:modified>
  <cp:revision>32</cp:revision>
  <dc:subject/>
  <dc:title>Enron Research-Technical Analysis</dc:title>
</cp:coreProperties>
</file>