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numPr>
          <w:ilvl w:val="0"/>
          <w:numId w:val="0"/>
        </w:numPr>
        <w:jc w:val="start"/>
        <w:outlineLvl w:val="0"/>
        <w:rPr/>
      </w:pPr>
      <w:r>
        <w:rPr/>
      </w:r>
    </w:p>
    <w:p>
      <w:pPr>
        <w:pStyle w:val="Heading"/>
        <w:numPr>
          <w:ilvl w:val="0"/>
          <w:numId w:val="0"/>
        </w:numPr>
        <w:ind w:firstLine="720" w:start="1440" w:end="0"/>
        <w:jc w:val="start"/>
        <w:outlineLvl w:val="0"/>
        <w:rPr/>
      </w:pPr>
      <w:r>
        <w:rPr/>
        <w:t>Enron Research-Technical Analysis</w:t>
      </w:r>
    </w:p>
    <w:p>
      <w:pPr>
        <w:pStyle w:val="Heading"/>
        <w:rPr>
          <w:u w:val="none"/>
        </w:rPr>
      </w:pPr>
      <w:r>
        <w:rPr>
          <w:u w:val="none"/>
        </w:rPr>
        <w:t xml:space="preserve"> </w:t>
      </w:r>
      <w:r>
        <w:rPr>
          <w:u w:val="none"/>
        </w:rPr>
        <w:t>Natural Gas Market</w:t>
      </w:r>
    </w:p>
    <w:p>
      <w:pPr>
        <w:pStyle w:val="Heading"/>
        <w:rPr>
          <w:sz w:val="24"/>
          <w:u w:val="none"/>
        </w:rPr>
      </w:pPr>
      <w:r>
        <w:rPr>
          <w:sz w:val="24"/>
          <w:u w:val="none"/>
        </w:rPr>
        <w:t>April 26, 2000</w:t>
      </w:r>
    </w:p>
    <w:p>
      <w:pPr>
        <w:pStyle w:val="Heading"/>
        <w:rPr>
          <w:sz w:val="24"/>
          <w:u w:val="none"/>
        </w:rPr>
      </w:pPr>
      <w:r>
        <w:rPr>
          <w:sz w:val="24"/>
          <w:u w:val="none"/>
        </w:rPr>
        <w:t>By Tricia Tlapek ext. 36615</w:t>
      </w:r>
    </w:p>
    <w:p>
      <w:pPr>
        <w:pStyle w:val="Heading"/>
        <w:jc w:val="start"/>
        <w:rPr>
          <w:sz w:val="20"/>
          <w:u w:val="none"/>
        </w:rPr>
      </w:pPr>
      <w:r>
        <w:rPr>
          <w:sz w:val="20"/>
          <w:u w:val="none"/>
        </w:rPr>
      </w:r>
    </w:p>
    <w:tbl>
      <w:tblPr>
        <w:tblW w:w="3510" w:type="dxa"/>
        <w:jc w:val="start"/>
        <w:tblInd w:w="27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10"/>
        <w:gridCol w:w="1800"/>
      </w:tblGrid>
      <w:tr>
        <w:trPr>
          <w:trHeight w:val="953" w:hRule="atLeast"/>
        </w:trPr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Support-NGM</w:t>
            </w:r>
          </w:p>
          <w:p>
            <w:pPr>
              <w:pStyle w:val="Heading"/>
              <w:jc w:val="start"/>
              <w:rPr>
                <w:color w:val="FF0000"/>
                <w:sz w:val="22"/>
                <w:u w:val="none"/>
              </w:rPr>
            </w:pPr>
            <w:r>
              <w:rPr>
                <w:color w:val="FF0000"/>
                <w:sz w:val="22"/>
                <w:u w:val="none"/>
              </w:rPr>
              <w:t>3.115-3.12</w:t>
            </w:r>
          </w:p>
          <w:p>
            <w:pPr>
              <w:pStyle w:val="Heading"/>
              <w:jc w:val="start"/>
              <w:rPr>
                <w:color w:val="FF0000"/>
                <w:sz w:val="22"/>
                <w:u w:val="none"/>
              </w:rPr>
            </w:pPr>
            <w:r>
              <w:rPr>
                <w:color w:val="FF0000"/>
                <w:sz w:val="22"/>
                <w:u w:val="none"/>
              </w:rPr>
              <w:t>3.09</w:t>
            </w:r>
          </w:p>
          <w:p>
            <w:pPr>
              <w:pStyle w:val="Heading"/>
              <w:jc w:val="start"/>
              <w:rPr>
                <w:color w:val="FF0000"/>
                <w:sz w:val="22"/>
                <w:u w:val="none"/>
              </w:rPr>
            </w:pPr>
            <w:r>
              <w:rPr>
                <w:color w:val="FF0000"/>
                <w:sz w:val="22"/>
                <w:u w:val="none"/>
              </w:rPr>
              <w:t>3.06</w:t>
            </w:r>
          </w:p>
          <w:p>
            <w:pPr>
              <w:pStyle w:val="Heading"/>
              <w:jc w:val="start"/>
              <w:rPr>
                <w:color w:val="FF0000"/>
                <w:sz w:val="22"/>
                <w:u w:val="none"/>
              </w:rPr>
            </w:pPr>
            <w:r>
              <w:rPr>
                <w:color w:val="FF0000"/>
                <w:sz w:val="22"/>
                <w:u w:val="none"/>
              </w:rPr>
              <w:t>3.045-3.055 gap</w:t>
            </w:r>
          </w:p>
          <w:p>
            <w:pPr>
              <w:pStyle w:val="Heading"/>
              <w:jc w:val="start"/>
              <w:rPr>
                <w:color w:val="FF0000"/>
                <w:sz w:val="22"/>
                <w:u w:val="none"/>
              </w:rPr>
            </w:pPr>
            <w:r>
              <w:rPr>
                <w:color w:val="FF0000"/>
                <w:sz w:val="22"/>
                <w:u w:val="none"/>
              </w:rPr>
              <w:t>3.02</w:t>
            </w:r>
          </w:p>
          <w:p>
            <w:pPr>
              <w:pStyle w:val="Heading"/>
              <w:jc w:val="start"/>
              <w:rPr>
                <w:color w:val="FF0000"/>
                <w:sz w:val="22"/>
                <w:u w:val="none"/>
              </w:rPr>
            </w:pPr>
            <w:r>
              <w:rPr>
                <w:color w:val="FF0000"/>
                <w:sz w:val="22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color w:val="FF0000"/>
                <w:sz w:val="22"/>
                <w:u w:val="none"/>
              </w:rPr>
            </w:pPr>
            <w:r>
              <w:rPr>
                <w:sz w:val="22"/>
                <w:u w:val="none"/>
              </w:rPr>
              <w:t>Resistance-NGM</w:t>
            </w:r>
          </w:p>
          <w:p>
            <w:pPr>
              <w:pStyle w:val="Heading"/>
              <w:jc w:val="start"/>
              <w:rPr>
                <w:color w:val="FF0000"/>
                <w:sz w:val="22"/>
                <w:u w:val="none"/>
              </w:rPr>
            </w:pPr>
            <w:r>
              <w:rPr>
                <w:color w:val="FF0000"/>
                <w:sz w:val="22"/>
                <w:u w:val="none"/>
              </w:rPr>
              <w:t>3.14-3.15</w:t>
            </w:r>
          </w:p>
          <w:p>
            <w:pPr>
              <w:pStyle w:val="Heading"/>
              <w:jc w:val="start"/>
              <w:rPr>
                <w:color w:val="FF0000"/>
                <w:sz w:val="22"/>
                <w:u w:val="none"/>
              </w:rPr>
            </w:pPr>
            <w:r>
              <w:rPr>
                <w:color w:val="FF0000"/>
                <w:sz w:val="22"/>
                <w:u w:val="none"/>
              </w:rPr>
              <w:t>3.175</w:t>
            </w:r>
          </w:p>
          <w:p>
            <w:pPr>
              <w:pStyle w:val="Heading"/>
              <w:jc w:val="start"/>
              <w:rPr>
                <w:color w:val="FF0000"/>
                <w:sz w:val="22"/>
                <w:u w:val="none"/>
              </w:rPr>
            </w:pPr>
            <w:r>
              <w:rPr>
                <w:color w:val="FF0000"/>
                <w:sz w:val="22"/>
                <w:u w:val="none"/>
              </w:rPr>
              <w:t>3.19</w:t>
            </w:r>
          </w:p>
          <w:p>
            <w:pPr>
              <w:pStyle w:val="Heading"/>
              <w:jc w:val="start"/>
              <w:rPr>
                <w:color w:val="FF0000"/>
                <w:sz w:val="22"/>
                <w:u w:val="none"/>
              </w:rPr>
            </w:pPr>
            <w:r>
              <w:rPr>
                <w:color w:val="FF0000"/>
                <w:sz w:val="22"/>
                <w:u w:val="none"/>
              </w:rPr>
              <w:t>3.23</w:t>
            </w:r>
          </w:p>
        </w:tc>
      </w:tr>
    </w:tbl>
    <w:p>
      <w:pPr>
        <w:pStyle w:val="BodyText"/>
        <w:tabs>
          <w:tab w:val="clear" w:pos="720"/>
          <w:tab w:val="left" w:pos="450" w:leader="none"/>
        </w:tabs>
        <w:rPr>
          <w:color w:val="000000"/>
        </w:rPr>
      </w:pPr>
      <w:r>
        <w:rPr>
          <w:color w:val="000000"/>
        </w:rPr>
      </w:r>
    </w:p>
    <w:p>
      <w:pPr>
        <w:pStyle w:val="BodyText"/>
        <w:tabs>
          <w:tab w:val="clear" w:pos="720"/>
          <w:tab w:val="left" w:pos="450" w:leader="none"/>
        </w:tabs>
        <w:rPr/>
      </w:pPr>
      <w:r>
        <w:rPr>
          <w:color w:val="000000"/>
          <w:sz w:val="24"/>
        </w:rPr>
        <w:t xml:space="preserve">For the 4/26 session, with sustained trades above 3.15, </w:t>
      </w:r>
      <w:r>
        <w:rPr>
          <w:sz w:val="24"/>
        </w:rPr>
        <w:t>NGM</w:t>
      </w:r>
      <w:r>
        <w:rPr>
          <w:color w:val="000000"/>
          <w:sz w:val="24"/>
        </w:rPr>
        <w:t xml:space="preserve"> is set to challenge 3.175, 3.19 and 3.23.</w:t>
      </w:r>
    </w:p>
    <w:p>
      <w:pPr>
        <w:pStyle w:val="BodyText"/>
        <w:tabs>
          <w:tab w:val="clear" w:pos="720"/>
          <w:tab w:val="left" w:pos="450" w:leader="none"/>
        </w:tabs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BodyText"/>
        <w:tabs>
          <w:tab w:val="clear" w:pos="720"/>
          <w:tab w:val="left" w:pos="450" w:leader="none"/>
        </w:tabs>
        <w:rPr/>
      </w:pPr>
      <w:r>
        <w:rPr>
          <w:color w:val="000000"/>
          <w:sz w:val="24"/>
        </w:rPr>
        <w:t xml:space="preserve">With sustained trades below 3.12, </w:t>
      </w:r>
      <w:r>
        <w:rPr>
          <w:sz w:val="24"/>
        </w:rPr>
        <w:t>NGM</w:t>
      </w:r>
      <w:r>
        <w:rPr>
          <w:color w:val="000000"/>
          <w:sz w:val="24"/>
        </w:rPr>
        <w:t xml:space="preserve"> is set to re-test the 3.06 level.  Below 3.06, is 3.055-3.045 gap.  Below gap is support of 3.02. </w:t>
      </w:r>
    </w:p>
    <w:p>
      <w:pPr>
        <w:pStyle w:val="BodyText"/>
        <w:tabs>
          <w:tab w:val="clear" w:pos="720"/>
          <w:tab w:val="left" w:pos="450" w:leader="none"/>
        </w:tabs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BodyText"/>
        <w:tabs>
          <w:tab w:val="clear" w:pos="720"/>
          <w:tab w:val="left" w:pos="450" w:leader="none"/>
        </w:tabs>
        <w:rPr>
          <w:sz w:val="24"/>
        </w:rPr>
      </w:pPr>
      <w:r>
        <w:rPr>
          <w:sz w:val="24"/>
        </w:rPr>
      </w:r>
    </w:p>
    <w:p>
      <w:pPr>
        <w:pStyle w:val="BodyText"/>
        <w:tabs>
          <w:tab w:val="clear" w:pos="720"/>
          <w:tab w:val="left" w:pos="450" w:leader="none"/>
        </w:tabs>
        <w:rPr>
          <w:sz w:val="24"/>
        </w:rPr>
      </w:pPr>
      <w:r>
        <w:object w:dxaOrig="11565" w:dyaOrig="7642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75.6pt;margin-top:17.15pt;width:578.25pt;height:382.1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970671457" r:id="rId2"/>
        </w:object>
      </w:r>
      <w:r>
        <w:rPr>
          <w:sz w:val="24"/>
        </w:rPr>
        <w:t>Daily NGM</w:t>
      </w:r>
    </w:p>
    <w:sectPr>
      <w:type w:val="nextPage"/>
      <w:pgSz w:w="12240" w:h="15840"/>
      <w:pgMar w:left="1800" w:right="1800" w:gutter="0" w:header="0" w:top="81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color w:val="0000FF"/>
      <w:sz w:val="28"/>
      <w:u w:val="single"/>
    </w:rPr>
  </w:style>
  <w:style w:type="paragraph" w:styleId="BodyText">
    <w:name w:val="Body Text"/>
    <w:basedOn w:val="Normal"/>
    <w:pPr/>
    <w:rPr>
      <w:color w:val="0000FF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2000-04-25T18:03:00Z</dcterms:created>
  <dc:creator>ssion</dc:creator>
  <dc:description/>
  <dc:language>en-CA</dc:language>
  <cp:lastModifiedBy>ssion</cp:lastModifiedBy>
  <cp:lastPrinted>2000-04-19T17:35:00Z</cp:lastPrinted>
  <dcterms:modified xsi:type="dcterms:W3CDTF">2000-04-26T10:24:00Z</dcterms:modified>
  <cp:revision>7</cp:revision>
  <dc:subject/>
  <dc:title>Enron Research-Technical Analysis</dc:title>
</cp:coreProperties>
</file>