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mc:AlternateContent>
          <mc:Choice Requires="wps">
            <w:drawing>
              <wp:anchor behindDoc="0" distT="0" distB="0" distL="114935" distR="114935" simplePos="0" locked="0" layoutInCell="1" allowOverlap="1" relativeHeight="3">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t>BEFORE THE</w:t>
      </w:r>
    </w:p>
    <w:p>
      <w:pPr>
        <w:pStyle w:val="Normal"/>
        <w:jc w:val="center"/>
        <w:rPr>
          <w:b/>
        </w:rPr>
      </w:pPr>
      <w:r>
        <w:rPr>
          <w:b/>
        </w:rPr>
        <w:t>GEORGIA PUBLIC SERVICE COMMISSION</w:t>
      </w:r>
    </w:p>
    <w:p>
      <w:pPr>
        <w:pStyle w:val="Normal"/>
        <w:rPr>
          <w:b/>
        </w:rPr>
      </w:pPr>
      <w:r>
        <w:rPr>
          <w:b/>
        </w:rPr>
        <w:t>IN RE:</w:t>
      </w:r>
    </w:p>
    <w:p>
      <w:pPr>
        <w:pStyle w:val="Normal"/>
        <w:rPr>
          <w:b/>
        </w:rPr>
      </w:pPr>
      <w:r>
        <w:rPr>
          <w:b/>
        </w:rPr>
      </w:r>
    </w:p>
    <w:p>
      <w:pPr>
        <w:pStyle w:val="Normal"/>
        <w:rPr>
          <w:b/>
        </w:rPr>
      </w:pPr>
      <w:r>
        <w:rPr>
          <w:b/>
        </w:rPr>
        <w:t>Georgia Power Company's</w:t>
        <w:tab/>
        <w:tab/>
        <w:tab/>
        <w:t>)</w:t>
        <w:tab/>
        <w:t xml:space="preserve"> </w:t>
        <w:tab/>
      </w:r>
    </w:p>
    <w:p>
      <w:pPr>
        <w:pStyle w:val="Normal"/>
        <w:ind w:start="4320" w:end="0"/>
        <w:rPr>
          <w:b/>
        </w:rPr>
      </w:pPr>
      <w:r>
        <w:rPr>
          <w:b/>
        </w:rPr>
        <w:t>)</w:t>
        <w:tab/>
      </w:r>
    </w:p>
    <w:p>
      <w:pPr>
        <w:pStyle w:val="Normal"/>
        <w:ind w:start="4320" w:end="0"/>
        <w:rPr>
          <w:b/>
        </w:rPr>
      </w:pPr>
      <w:r>
        <w:rPr>
          <w:b/>
        </w:rPr>
        <w:t>)</w:t>
        <w:tab/>
        <w:tab/>
        <w:tab/>
        <w:t>Docket No. 14000-U</w:t>
        <w:tab/>
        <w:tab/>
      </w:r>
    </w:p>
    <w:p>
      <w:pPr>
        <w:pStyle w:val="Normal"/>
        <w:rPr>
          <w:b/>
        </w:rPr>
      </w:pPr>
      <w:r>
        <w:rPr>
          <w:b/>
        </w:rPr>
        <w:t>2001 Rate Case</w:t>
        <w:tab/>
        <w:tab/>
        <w:tab/>
        <w:tab/>
        <w:t>)</w:t>
        <w:tab/>
        <w:tab/>
      </w:r>
    </w:p>
    <w:p>
      <w:pPr>
        <w:pStyle w:val="Normal"/>
        <w:rPr>
          <w:b/>
        </w:rPr>
      </w:pPr>
      <w:r>
        <w:rPr>
          <w:b/>
        </w:rPr>
      </w:r>
    </w:p>
    <w:p>
      <w:pPr>
        <w:pStyle w:val="Normal"/>
        <w:rPr>
          <w:b/>
        </w:rPr>
      </w:pPr>
      <w:r>
        <w:rPr>
          <w:b/>
        </w:rPr>
      </w:r>
    </w:p>
    <w:p>
      <w:pPr>
        <w:pStyle w:val="Heading1"/>
        <w:ind w:hanging="0" w:start="0"/>
        <w:rPr/>
      </w:pPr>
      <w:r>
        <w:rPr/>
        <w:t>NOTICE OF INTENT TO INTERVENE AND</w:t>
      </w:r>
    </w:p>
    <w:p>
      <w:pPr>
        <w:pStyle w:val="Normal"/>
        <w:jc w:val="center"/>
        <w:rPr>
          <w:b/>
          <w:bCs/>
        </w:rPr>
      </w:pPr>
      <w:r>
        <w:rPr>
          <w:b/>
          <w:bCs/>
        </w:rPr>
        <w:t>PETITION OF ENRON CORP.</w:t>
      </w:r>
    </w:p>
    <w:p>
      <w:pPr>
        <w:pStyle w:val="Heading2"/>
        <w:ind w:hanging="0" w:start="0"/>
        <w:rPr/>
      </w:pPr>
      <w:r>
        <w:rPr/>
        <w:t>FOR LEAVE TO INTERVENE</w:t>
      </w:r>
    </w:p>
    <w:p>
      <w:pPr>
        <w:pStyle w:val="Footer"/>
        <w:tabs>
          <w:tab w:val="clear" w:pos="4320"/>
          <w:tab w:val="clear" w:pos="8640"/>
        </w:tabs>
        <w:rPr/>
      </w:pPr>
      <w:r>
        <w:rPr/>
      </w:r>
    </w:p>
    <w:p>
      <w:pPr>
        <w:pStyle w:val="Normal"/>
        <w:spacing w:lineRule="auto" w:line="480"/>
        <w:rPr/>
      </w:pPr>
      <w:r>
        <w:rPr/>
        <w:tab/>
        <w:t>Enron Corp., (“Enron”) hereby petitions, pursuant to O.C.G.A. §§ 50</w:t>
        <w:noBreakHyphen/>
        <w:t>13-14 and 46-2-59, to intervene in the above-captioned docket as a full party of record.  In support of this request, Enron respectfully states as follows:</w:t>
      </w:r>
    </w:p>
    <w:p>
      <w:pPr>
        <w:pStyle w:val="Normal"/>
        <w:spacing w:lineRule="auto" w:line="480"/>
        <w:rPr/>
      </w:pPr>
      <w:r>
        <w:rPr/>
        <w:t>1.</w:t>
        <w:tab/>
        <w:t>Enron is a global energy and communication company headquartered in Houston, Texas.  Through its retail subsidiary, Enron Energy Services, Inc., Enron provides energy management and outsourcing services to commercial and industrial customers throughout the United States, including Georgia.  In addition, Enron provides various risk management products, including weather derivatives, to numerous electric and gas utilities throughout the United States.  Enron seeks intervention so that it may respond to various aspects of Georgia Power Company’s rate filing.</w:t>
      </w:r>
    </w:p>
    <w:p>
      <w:pPr>
        <w:pStyle w:val="Normal"/>
        <w:spacing w:lineRule="auto" w:line="480"/>
        <w:rPr/>
      </w:pPr>
      <w:r>
        <w:rPr/>
        <w:t>2.</w:t>
        <w:tab/>
        <w:t xml:space="preserve">Enron has not yet determined whether it will submit pre-filed testimony in this matter.  </w:t>
      </w:r>
    </w:p>
    <w:p>
      <w:pPr>
        <w:pStyle w:val="Normal"/>
        <w:spacing w:lineRule="auto" w:line="480"/>
        <w:rPr/>
      </w:pPr>
      <w:r>
        <w:rPr/>
        <w:t>3.</w:t>
        <w:tab/>
        <w:t>All notices, correspondence and copies of orders and other materials should be addressed as follows, and the following should be placed upon the official service list in this proceeding:</w:t>
      </w:r>
    </w:p>
    <w:p>
      <w:pPr>
        <w:pStyle w:val="Footer"/>
        <w:tabs>
          <w:tab w:val="clear" w:pos="4320"/>
          <w:tab w:val="clear" w:pos="8640"/>
        </w:tabs>
        <w:ind w:firstLine="720" w:start="2160" w:end="0"/>
        <w:rPr/>
      </w:pPr>
      <w:r>
        <w:rPr/>
      </w:r>
    </w:p>
    <w:p>
      <w:pPr>
        <w:pStyle w:val="Footer"/>
        <w:tabs>
          <w:tab w:val="clear" w:pos="4320"/>
          <w:tab w:val="clear" w:pos="8640"/>
        </w:tabs>
        <w:ind w:firstLine="720" w:start="2160" w:end="0"/>
        <w:rPr/>
      </w:pPr>
      <w:r>
        <w:rPr/>
        <w:t>Robert J. Frank</w:t>
      </w:r>
    </w:p>
    <w:p>
      <w:pPr>
        <w:pStyle w:val="Footer"/>
        <w:tabs>
          <w:tab w:val="clear" w:pos="4320"/>
          <w:tab w:val="clear" w:pos="8640"/>
        </w:tabs>
        <w:rPr/>
      </w:pPr>
      <w:r>
        <w:rPr/>
        <w:tab/>
        <w:tab/>
        <w:tab/>
        <w:tab/>
        <w:t>Government Affairs</w:t>
      </w:r>
    </w:p>
    <w:p>
      <w:pPr>
        <w:pStyle w:val="Normal"/>
        <w:rPr/>
      </w:pPr>
      <w:r>
        <w:rPr/>
        <w:tab/>
        <w:tab/>
        <w:tab/>
        <w:tab/>
        <w:t>Enron Corp.</w:t>
      </w:r>
    </w:p>
    <w:p>
      <w:pPr>
        <w:pStyle w:val="Normal"/>
        <w:rPr/>
      </w:pPr>
      <w:r>
        <w:rPr/>
        <w:tab/>
        <w:tab/>
        <w:tab/>
        <w:tab/>
        <w:t>1400 Smith Street</w:t>
      </w:r>
    </w:p>
    <w:p>
      <w:pPr>
        <w:pStyle w:val="Normal"/>
        <w:rPr/>
      </w:pPr>
      <w:r>
        <w:rPr/>
        <w:tab/>
        <w:tab/>
        <w:tab/>
        <w:tab/>
        <w:t>Houston, Texas 77002-7361</w:t>
      </w:r>
    </w:p>
    <w:p>
      <w:pPr>
        <w:pStyle w:val="Normal"/>
        <w:rPr/>
      </w:pPr>
      <w:r>
        <w:rPr/>
        <w:tab/>
        <w:tab/>
        <w:tab/>
        <w:tab/>
        <w:t>Phone:  (713) 853-3180</w:t>
      </w:r>
    </w:p>
    <w:p>
      <w:pPr>
        <w:pStyle w:val="Footer"/>
        <w:tabs>
          <w:tab w:val="clear" w:pos="4320"/>
          <w:tab w:val="clear" w:pos="8640"/>
        </w:tabs>
        <w:rPr/>
      </w:pPr>
      <w:r>
        <w:rPr/>
        <w:t xml:space="preserve"> </w:t>
      </w:r>
      <w:r>
        <w:rPr/>
        <w:tab/>
        <w:tab/>
        <w:tab/>
        <w:tab/>
        <w:t>Fax:  (713) 646-3409</w:t>
      </w:r>
    </w:p>
    <w:p>
      <w:pPr>
        <w:pStyle w:val="Normal"/>
        <w:spacing w:lineRule="auto" w:line="480"/>
        <w:rPr/>
      </w:pPr>
      <w:r>
        <w:rPr/>
        <w:tab/>
        <w:tab/>
        <w:tab/>
        <w:tab/>
        <w:t>Email: rfrank@enron.com</w:t>
        <w:tab/>
      </w:r>
    </w:p>
    <w:p>
      <w:pPr>
        <w:pStyle w:val="Normal"/>
        <w:spacing w:lineRule="auto" w:line="480"/>
        <w:rPr/>
      </w:pPr>
      <w:r>
        <w:rPr/>
        <w:tab/>
      </w:r>
      <w:r>
        <w:rPr>
          <w:b/>
        </w:rPr>
        <w:t>WHEREFORE,</w:t>
      </w:r>
      <w:r>
        <w:rPr/>
        <w:t xml:space="preserve"> Enron Corp. respectfully requests that the Commission enter an Order granting this Petition to Intervene and allowing EES to become a full party of record in this docket, including the right to present testimony and exhibits, cross-examine witnesses, present argument and file briefs.</w:t>
      </w:r>
    </w:p>
    <w:p>
      <w:pPr>
        <w:pStyle w:val="Normal"/>
        <w:spacing w:lineRule="auto" w:line="480"/>
        <w:rPr/>
      </w:pPr>
      <w:r>
        <w:rPr/>
        <w:tab/>
        <w:tab/>
        <w:tab/>
        <w:tab/>
        <w:tab/>
        <w:tab/>
        <w:t xml:space="preserve">Respectfully submitted, </w:t>
      </w:r>
    </w:p>
    <w:p>
      <w:pPr>
        <w:pStyle w:val="Normal"/>
        <w:spacing w:lineRule="auto" w:line="480"/>
        <w:rPr/>
      </w:pPr>
      <w:r>
        <w:rPr/>
        <w:tab/>
        <w:tab/>
        <w:tab/>
        <w:tab/>
        <w:tab/>
        <w:tab/>
        <w:t>ENRON CORP.</w:t>
      </w:r>
    </w:p>
    <w:p>
      <w:pPr>
        <w:pStyle w:val="Normal"/>
        <w:spacing w:lineRule="auto" w:line="480"/>
        <w:rPr/>
      </w:pPr>
      <w:r>
        <w:rPr/>
      </w:r>
    </w:p>
    <w:p>
      <w:pPr>
        <w:pStyle w:val="Normal"/>
        <w:spacing w:lineRule="auto" w:line="480"/>
        <w:rPr/>
      </w:pPr>
      <w:r>
        <w:rPr/>
      </w:r>
    </w:p>
    <w:p>
      <w:pPr>
        <w:pStyle w:val="Footer"/>
        <w:tabs>
          <w:tab w:val="clear" w:pos="4320"/>
          <w:tab w:val="clear" w:pos="8640"/>
        </w:tabs>
        <w:rPr/>
      </w:pPr>
      <w:r>
        <w:rPr/>
        <w:tab/>
        <w:tab/>
        <w:tab/>
        <w:tab/>
        <w:tab/>
        <w:t xml:space="preserve">     By: _____________________________</w:t>
      </w:r>
    </w:p>
    <w:p>
      <w:pPr>
        <w:pStyle w:val="Normal"/>
        <w:rPr/>
      </w:pPr>
      <w:r>
        <w:rPr/>
        <w:tab/>
        <w:tab/>
        <w:tab/>
        <w:tab/>
        <w:tab/>
        <w:tab/>
        <w:t>Robert J. Frank*</w:t>
      </w:r>
    </w:p>
    <w:p>
      <w:pPr>
        <w:pStyle w:val="Normal"/>
        <w:jc w:val="both"/>
        <w:rPr/>
      </w:pPr>
      <w:r>
        <w:rPr>
          <w:b/>
        </w:rPr>
        <w:tab/>
        <w:tab/>
        <w:tab/>
        <w:tab/>
        <w:tab/>
        <w:tab/>
      </w:r>
      <w:r>
        <w:rPr>
          <w:bCs/>
        </w:rPr>
        <w:t>Government Affairs</w:t>
      </w:r>
    </w:p>
    <w:p>
      <w:pPr>
        <w:pStyle w:val="Normal"/>
        <w:ind w:firstLine="720" w:start="3600" w:end="0"/>
        <w:jc w:val="both"/>
        <w:rPr>
          <w:bCs/>
        </w:rPr>
      </w:pPr>
      <w:r>
        <w:rPr>
          <w:bCs/>
        </w:rPr>
        <w:t>Enron Corp.</w:t>
      </w:r>
    </w:p>
    <w:p>
      <w:pPr>
        <w:pStyle w:val="Normal"/>
        <w:ind w:firstLine="720" w:start="3600" w:end="0"/>
        <w:jc w:val="both"/>
        <w:rPr>
          <w:bCs/>
        </w:rPr>
      </w:pPr>
      <w:r>
        <w:rPr>
          <w:bCs/>
        </w:rPr>
        <w:t>1400 Smith Street</w:t>
      </w:r>
    </w:p>
    <w:p>
      <w:pPr>
        <w:pStyle w:val="Normal"/>
        <w:ind w:firstLine="720" w:start="3600" w:end="0"/>
        <w:jc w:val="both"/>
        <w:rPr>
          <w:bCs/>
        </w:rPr>
      </w:pPr>
      <w:r>
        <w:rPr>
          <w:bCs/>
        </w:rPr>
        <w:t>Houston, TX 77002-7361</w:t>
      </w:r>
    </w:p>
    <w:p>
      <w:pPr>
        <w:pStyle w:val="Normal"/>
        <w:ind w:firstLine="720" w:start="3600" w:end="0"/>
        <w:jc w:val="both"/>
        <w:rPr>
          <w:bCs/>
        </w:rPr>
      </w:pPr>
      <w:r>
        <w:rPr>
          <w:bCs/>
        </w:rPr>
        <w:t>713-853-3180</w:t>
      </w:r>
    </w:p>
    <w:p>
      <w:pPr>
        <w:pStyle w:val="Normal"/>
        <w:spacing w:lineRule="auto" w:line="480"/>
        <w:rPr>
          <w:b/>
          <w:bCs/>
        </w:rPr>
      </w:pPr>
      <w:r>
        <w:rPr>
          <w:b/>
          <w:bCs/>
        </w:rPr>
      </w:r>
    </w:p>
    <w:p>
      <w:pPr>
        <w:pStyle w:val="Normal"/>
        <w:spacing w:lineRule="auto" w:line="480"/>
        <w:rPr/>
      </w:pPr>
      <w:r>
        <w:rPr>
          <w:b/>
        </w:rPr>
        <w:t>*</w:t>
      </w:r>
      <w:r>
        <w:rPr>
          <w:bCs/>
        </w:rPr>
        <w:t>Not admitted in Georgia</w:t>
      </w:r>
    </w:p>
    <w:p>
      <w:pPr>
        <w:pStyle w:val="Normal"/>
        <w:spacing w:lineRule="auto" w:line="480"/>
        <w:jc w:val="center"/>
        <w:rPr>
          <w:b/>
          <w:bCs/>
        </w:rPr>
      </w:pPr>
      <w:r>
        <w:rPr>
          <w:b/>
          <w:bCs/>
        </w:rPr>
      </w:r>
    </w:p>
    <w:p>
      <w:pPr>
        <w:pStyle w:val="Normal"/>
        <w:spacing w:lineRule="auto" w:line="480"/>
        <w:jc w:val="center"/>
        <w:rPr>
          <w:b/>
        </w:rPr>
      </w:pPr>
      <w:r>
        <w:rPr>
          <w:b/>
        </w:rPr>
      </w:r>
    </w:p>
    <w:p>
      <w:pPr>
        <w:pStyle w:val="Normal"/>
        <w:rPr>
          <w:b/>
        </w:rPr>
      </w:pPr>
      <w:r>
        <w:rPr>
          <w:b/>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b/>
      <w:bCs/>
      <w:u w:val="single"/>
    </w:rPr>
  </w:style>
  <w:style w:type="paragraph" w:styleId="Heading5">
    <w:name w:val="heading 5"/>
    <w:basedOn w:val="Normal"/>
    <w:next w:val="Normal"/>
    <w:qFormat/>
    <w:pPr>
      <w:keepNext w:val="true"/>
      <w:numPr>
        <w:ilvl w:val="4"/>
        <w:numId w:val="1"/>
      </w:numPr>
      <w:jc w:val="center"/>
      <w:outlineLvl w:val="4"/>
    </w:pPr>
    <w:rPr>
      <w:szCs w:val="20"/>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2001-07-27T18:35:00Z</dcterms:created>
  <dc:creator>rfrank</dc:creator>
  <dc:description/>
  <dc:language>en-CA</dc:language>
  <cp:lastModifiedBy>rfrank</cp:lastModifiedBy>
  <cp:lastPrinted>2001-07-27T16:42:00Z</cp:lastPrinted>
  <dcterms:modified xsi:type="dcterms:W3CDTF">2001-07-27T19:24:00Z</dcterms:modified>
  <cp:revision>5</cp:revision>
  <dc:subject/>
  <dc:title>BEFORE THE</dc:title>
</cp:coreProperties>
</file>