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Financial Hedges for Transmission Congestion</w:t>
      </w:r>
    </w:p>
    <w:p>
      <w:pPr>
        <w:pStyle w:val="Normal"/>
        <w:rPr/>
      </w:pPr>
      <w:r>
        <w:rPr/>
      </w:r>
    </w:p>
    <w:p>
      <w:pPr>
        <w:pStyle w:val="Normal"/>
        <w:rPr/>
      </w:pPr>
      <w:r>
        <w:rPr/>
        <w:t>In power markets where transmission congestion charges are based on price differentials, financial instruments exist for the purpose of hedging exposure to potential charges.  While the names may differ, the basic structure and function of these instruments is similar.  Fixed transmission rights (FTRs) in Pennsylvania-New Jersey-Maryland (PJM), firm transmission rights (FTRs) in California, transmission congestion contracts (TCCs) in New York, and transmission congestion rights (TCRs) in the Electric Reliability Council of Texas (ERCOT) all pay holders based in part on the price differentials that drive congestion charges.</w:t>
      </w:r>
    </w:p>
    <w:p>
      <w:pPr>
        <w:pStyle w:val="Normal"/>
        <w:rPr/>
      </w:pPr>
      <w:r>
        <w:rPr/>
      </w:r>
    </w:p>
    <w:p>
      <w:pPr>
        <w:pStyle w:val="Normal"/>
        <w:rPr/>
      </w:pPr>
      <w:r>
        <w:rPr/>
        <w:t>This article describes the design of financial congestion rights as well as some of the consequences associated with their use.  While these congestion rights differ among the various market structures, the discussion will generally be in the context of PJM-like markets unless otherwise noted.</w:t>
      </w:r>
    </w:p>
    <w:p>
      <w:pPr>
        <w:pStyle w:val="Normal"/>
        <w:rPr/>
      </w:pPr>
      <w:r>
        <w:rPr/>
      </w:r>
    </w:p>
    <w:p>
      <w:pPr>
        <w:pStyle w:val="Normal"/>
        <w:rPr/>
      </w:pPr>
      <w:r>
        <w:rPr/>
        <w:t>Standard Use</w:t>
      </w:r>
    </w:p>
    <w:p>
      <w:pPr>
        <w:pStyle w:val="Normal"/>
        <w:rPr/>
      </w:pPr>
      <w:r>
        <w:rPr/>
      </w:r>
    </w:p>
    <w:p>
      <w:pPr>
        <w:pStyle w:val="Normal"/>
        <w:rPr/>
      </w:pPr>
      <w:r>
        <w:rPr/>
        <w:t>Recall the operation of locational marginal prices as described in a previous article (“Locational Marginal Pricing”).  For convenience, an example from that article is shown in the figure below.  In that congested example, the three nodes of the system have different prices.  A congestion charge based on the differential prices between nodes is assessed to the party flowing power between those nodes.</w:t>
      </w:r>
    </w:p>
    <w:p>
      <w:pPr>
        <w:pStyle w:val="Normal"/>
        <w:rPr/>
      </w:pPr>
      <w:r>
        <w:rPr/>
      </w:r>
    </w:p>
    <w:p>
      <w:pPr>
        <w:pStyle w:val="Normal"/>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51435</wp:posOffset>
                </wp:positionH>
                <wp:positionV relativeFrom="paragraph">
                  <wp:posOffset>29210</wp:posOffset>
                </wp:positionV>
                <wp:extent cx="4914900" cy="1651635"/>
                <wp:effectExtent l="0" t="0" r="0" b="0"/>
                <wp:wrapNone/>
                <wp:docPr id="1" name=""/>
                <a:graphic xmlns:a="http://schemas.openxmlformats.org/drawingml/2006/main">
                  <a:graphicData uri="http://schemas.microsoft.com/office/word/2010/wordprocessingGroup">
                    <wpg:wgp>
                      <wpg:cNvGrpSpPr/>
                      <wpg:grpSpPr>
                        <a:xfrm>
                          <a:off x="0" y="0"/>
                          <a:ext cx="4915080" cy="1651680"/>
                          <a:chOff x="0" y="0"/>
                          <a:chExt cx="4915080" cy="1651680"/>
                        </a:xfrm>
                      </wpg:grpSpPr>
                      <wps:wsp>
                        <wps:cNvSpPr/>
                        <wps:spPr>
                          <a:xfrm>
                            <a:off x="2413080" y="74880"/>
                            <a:ext cx="6480" cy="2602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933560" y="469440"/>
                            <a:ext cx="469800" cy="597600"/>
                          </a:xfrm>
                          <a:prstGeom prst="line">
                            <a:avLst/>
                          </a:prstGeom>
                          <a:ln w="9360">
                            <a:solidFill>
                              <a:srgbClr val="000000"/>
                            </a:solidFill>
                            <a:miter/>
                          </a:ln>
                        </wps:spPr>
                        <wps:style>
                          <a:lnRef idx="0"/>
                          <a:fillRef idx="0"/>
                          <a:effectRef idx="0"/>
                          <a:fontRef idx="minor"/>
                        </wps:style>
                        <wps:bodyPr/>
                      </wps:wsp>
                      <wps:wsp>
                        <wps:cNvSpPr/>
                        <wps:spPr>
                          <a:xfrm flipH="1">
                            <a:off x="1571760" y="1137240"/>
                            <a:ext cx="247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051000" y="1137240"/>
                            <a:ext cx="2476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727360" y="547920"/>
                            <a:ext cx="324000" cy="2602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50</w:t>
                              </w:r>
                            </w:p>
                          </w:txbxContent>
                        </wps:txbx>
                        <wps:bodyPr wrap="square" anchor="ctr">
                          <a:noAutofit/>
                        </wps:bodyPr>
                      </wps:wsp>
                      <wps:wsp>
                        <wps:cNvSpPr txBox="1"/>
                        <wps:spPr>
                          <a:xfrm>
                            <a:off x="2279520" y="1156320"/>
                            <a:ext cx="393840" cy="2602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175</w:t>
                              </w:r>
                            </w:p>
                          </w:txbxContent>
                        </wps:txbx>
                        <wps:bodyPr wrap="square" anchor="ctr">
                          <a:noAutofit/>
                        </wps:bodyPr>
                      </wps:wsp>
                      <wps:wsp>
                        <wps:cNvSpPr txBox="1"/>
                        <wps:spPr>
                          <a:xfrm>
                            <a:off x="3266280" y="991080"/>
                            <a:ext cx="1399680" cy="2602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 xml:space="preserve">125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10 $/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wps:txbx>
                        <wps:bodyPr wrap="square" anchor="ctr">
                          <a:noAutofit/>
                        </wps:bodyPr>
                      </wps:wsp>
                      <wps:wsp>
                        <wps:cNvSpPr txBox="1"/>
                        <wps:spPr>
                          <a:xfrm>
                            <a:off x="1748160" y="547920"/>
                            <a:ext cx="393840" cy="2602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225</w:t>
                              </w:r>
                            </w:p>
                          </w:txbxContent>
                        </wps:txbx>
                        <wps:bodyPr wrap="square" anchor="ctr">
                          <a:noAutofit/>
                        </wps:bodyPr>
                      </wps:wsp>
                      <wps:wsp>
                        <wps:cNvSpPr txBox="1"/>
                        <wps:spPr>
                          <a:xfrm>
                            <a:off x="227880" y="991080"/>
                            <a:ext cx="1399680" cy="260280"/>
                          </a:xfrm>
                          <a:prstGeom prst="rect">
                            <a:avLst/>
                          </a:prstGeom>
                          <a:noFill/>
                          <a:ln w="0">
                            <a:noFill/>
                          </a:ln>
                        </wps:spPr>
                        <wps:txbx>
                          <w:txbxContent>
                            <w:p>
                              <w:pPr>
                                <w:overflowPunct w:val="false"/>
                                <w:autoSpaceDE w:val="false"/>
                                <w:bidi w:val="0"/>
                                <w:jc w:val="end"/>
                                <w:rPr/>
                              </w:pPr>
                              <w:r>
                                <w:rPr>
                                  <w:kern w:val="2"/>
                                  <w:sz w:val="22"/>
                                  <w:szCs w:val="22"/>
                                  <w:rFonts w:ascii="Times" w:hAnsi="Times" w:eastAsia="Times" w:cs="Times"/>
                                  <w:color w:val="000000"/>
                                  <w:lang w:val="en-US" w:bidi="ar-SA"/>
                                </w:rPr>
                                <w:t xml:space="preserve">400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14 $/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wps:txbx>
                        <wps:bodyPr wrap="square" anchor="ctr">
                          <a:noAutofit/>
                        </wps:bodyPr>
                      </wps:wsp>
                      <wpg:grpSp>
                        <wpg:cNvGrpSpPr/>
                        <wpg:grpSpPr>
                          <a:xfrm>
                            <a:off x="1770480" y="326520"/>
                            <a:ext cx="1281600" cy="924480"/>
                          </a:xfrm>
                        </wpg:grpSpPr>
                        <wps:wsp>
                          <wps:cNvSpPr/>
                          <wps:spPr>
                            <a:xfrm>
                              <a:off x="168840" y="809640"/>
                              <a:ext cx="957600" cy="0"/>
                            </a:xfrm>
                            <a:prstGeom prst="line">
                              <a:avLst/>
                            </a:prstGeom>
                            <a:ln w="9360">
                              <a:solidFill>
                                <a:srgbClr val="000000"/>
                              </a:solidFill>
                              <a:miter/>
                            </a:ln>
                          </wps:spPr>
                          <wps:style>
                            <a:lnRef idx="0"/>
                            <a:fillRef idx="0"/>
                            <a:effectRef idx="0"/>
                            <a:fontRef idx="minor"/>
                          </wps:style>
                          <wps:bodyPr/>
                        </wps:wsp>
                        <wps:wsp>
                          <wps:cNvSpPr/>
                          <wps:spPr>
                            <a:xfrm flipV="1">
                              <a:off x="162360" y="142200"/>
                              <a:ext cx="469440" cy="596160"/>
                            </a:xfrm>
                            <a:prstGeom prst="line">
                              <a:avLst/>
                            </a:prstGeom>
                            <a:ln w="9360">
                              <a:solidFill>
                                <a:srgbClr val="000000"/>
                              </a:solidFill>
                              <a:miter/>
                            </a:ln>
                          </wps:spPr>
                          <wps:style>
                            <a:lnRef idx="0"/>
                            <a:fillRef idx="0"/>
                            <a:effectRef idx="0"/>
                            <a:fontRef idx="minor"/>
                          </wps:style>
                          <wps:bodyPr/>
                        </wps:wsp>
                        <wps:wsp>
                          <wps:cNvSpPr/>
                          <wps:spPr>
                            <a:xfrm flipH="1" flipV="1">
                              <a:off x="669960" y="148320"/>
                              <a:ext cx="469440" cy="596160"/>
                            </a:xfrm>
                            <a:prstGeom prst="line">
                              <a:avLst/>
                            </a:prstGeom>
                            <a:ln w="9360">
                              <a:solidFill>
                                <a:srgbClr val="000000"/>
                              </a:solidFill>
                              <a:miter/>
                            </a:ln>
                          </wps:spPr>
                          <wps:style>
                            <a:lnRef idx="0"/>
                            <a:fillRef idx="0"/>
                            <a:effectRef idx="0"/>
                            <a:fontRef idx="minor"/>
                          </wps:style>
                          <wps:bodyPr/>
                        </wps:wsp>
                        <wpg:grpSp>
                          <wpg:cNvGrpSpPr/>
                          <wpg:grpSpPr>
                            <a:xfrm>
                              <a:off x="1027440" y="664560"/>
                              <a:ext cx="254160" cy="258480"/>
                            </a:xfrm>
                          </wpg:grpSpPr>
                          <wps:wsp>
                            <wps:cNvPr id="2" name=""/>
                            <wps:cNvSpPr/>
                            <wps:spPr>
                              <a:xfrm>
                                <a:off x="13320" y="16200"/>
                                <a:ext cx="226800" cy="2268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254160" cy="2584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1</w:t>
                                  </w:r>
                                </w:p>
                              </w:txbxContent>
                            </wps:txbx>
                            <wps:bodyPr wrap="square" anchor="ctr">
                              <a:noAutofit/>
                            </wps:bodyPr>
                          </wps:wsp>
                        </wpg:grpSp>
                        <wpg:grpSp>
                          <wpg:cNvGrpSpPr/>
                          <wpg:grpSpPr>
                            <a:xfrm>
                              <a:off x="0" y="666000"/>
                              <a:ext cx="254160" cy="258480"/>
                            </a:xfrm>
                          </wpg:grpSpPr>
                          <wps:wsp>
                            <wps:cNvPr id="3" name=""/>
                            <wps:cNvSpPr/>
                            <wps:spPr>
                              <a:xfrm>
                                <a:off x="13320" y="15840"/>
                                <a:ext cx="226800" cy="2268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254160" cy="2584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2</w:t>
                                  </w:r>
                                </w:p>
                              </w:txbxContent>
                            </wps:txbx>
                            <wps:bodyPr wrap="square" anchor="ctr">
                              <a:noAutofit/>
                            </wps:bodyPr>
                          </wps:wsp>
                        </wpg:grpSp>
                        <wpg:grpSp>
                          <wpg:cNvGrpSpPr/>
                          <wpg:grpSpPr>
                            <a:xfrm>
                              <a:off x="513720" y="0"/>
                              <a:ext cx="254160" cy="258480"/>
                            </a:xfrm>
                          </wpg:grpSpPr>
                          <wps:wsp>
                            <wps:cNvPr id="4" name=""/>
                            <wps:cNvSpPr/>
                            <wps:spPr>
                              <a:xfrm>
                                <a:off x="13320" y="15840"/>
                                <a:ext cx="226800" cy="22680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0" y="0"/>
                                <a:ext cx="254160" cy="2584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3</w:t>
                                  </w:r>
                                </w:p>
                              </w:txbxContent>
                            </wps:txbx>
                            <wps:bodyPr wrap="square" anchor="ctr">
                              <a:noAutofit/>
                            </wps:bodyPr>
                          </wps:wsp>
                        </wpg:grpSp>
                      </wpg:grpSp>
                      <wps:wsp>
                        <wps:cNvSpPr/>
                        <wps:spPr>
                          <a:xfrm flipH="1">
                            <a:off x="2149560" y="1213560"/>
                            <a:ext cx="488880" cy="0"/>
                          </a:xfrm>
                          <a:prstGeom prst="line">
                            <a:avLst/>
                          </a:prstGeom>
                          <a:ln w="9360">
                            <a:solidFill>
                              <a:srgbClr val="000000"/>
                            </a:solidFill>
                            <a:miter/>
                            <a:tailEnd len="med" type="arrow" w="med"/>
                          </a:ln>
                        </wps:spPr>
                        <wps:style>
                          <a:lnRef idx="0"/>
                          <a:fillRef idx="0"/>
                          <a:effectRef idx="0"/>
                          <a:fontRef idx="minor"/>
                        </wps:style>
                        <wps:bodyPr/>
                      </wps:wsp>
                      <wps:wsp>
                        <wps:cNvSpPr/>
                        <wps:spPr>
                          <a:xfrm flipV="1">
                            <a:off x="1940040" y="570960"/>
                            <a:ext cx="272880" cy="349920"/>
                          </a:xfrm>
                          <a:prstGeom prst="line">
                            <a:avLst/>
                          </a:prstGeom>
                          <a:ln w="9360">
                            <a:solidFill>
                              <a:srgbClr val="000000"/>
                            </a:solidFill>
                            <a:miter/>
                            <a:headEnd len="med" type="arrow" w="med"/>
                          </a:ln>
                        </wps:spPr>
                        <wps:style>
                          <a:lnRef idx="0"/>
                          <a:fillRef idx="0"/>
                          <a:effectRef idx="0"/>
                          <a:fontRef idx="minor"/>
                        </wps:style>
                        <wps:bodyPr/>
                      </wps:wsp>
                      <wps:wsp>
                        <wps:cNvSpPr/>
                        <wps:spPr>
                          <a:xfrm flipH="1" flipV="1">
                            <a:off x="2619360" y="577080"/>
                            <a:ext cx="272880" cy="349920"/>
                          </a:xfrm>
                          <a:prstGeom prst="line">
                            <a:avLst/>
                          </a:prstGeom>
                          <a:ln w="9360">
                            <a:solidFill>
                              <a:srgbClr val="000000"/>
                            </a:solidFill>
                            <a:miter/>
                            <a:headEnd len="med" type="arrow" w="med"/>
                          </a:ln>
                        </wps:spPr>
                        <wps:style>
                          <a:lnRef idx="0"/>
                          <a:fillRef idx="0"/>
                          <a:effectRef idx="0"/>
                          <a:fontRef idx="minor"/>
                        </wps:style>
                        <wps:bodyPr/>
                      </wps:wsp>
                      <wps:wsp>
                        <wps:cNvSpPr txBox="1"/>
                        <wps:spPr>
                          <a:xfrm>
                            <a:off x="0" y="1391400"/>
                            <a:ext cx="4915080" cy="260280"/>
                          </a:xfrm>
                          <a:prstGeom prst="rect">
                            <a:avLst/>
                          </a:prstGeom>
                          <a:noFill/>
                          <a:ln w="0">
                            <a:noFill/>
                          </a:ln>
                        </wps:spPr>
                        <wps:txbx>
                          <w:txbxContent>
                            <w:p>
                              <w:pPr>
                                <w:overflowPunct w:val="false"/>
                                <w:autoSpaceDE w:val="false"/>
                                <w:bidi w:val="0"/>
                                <w:jc w:val="center"/>
                                <w:rPr/>
                              </w:pPr>
                              <w:r>
                                <w:rPr>
                                  <w:kern w:val="2"/>
                                  <w:sz w:val="22"/>
                                  <w:szCs w:val="22"/>
                                  <w:rFonts w:ascii="Times" w:hAnsi="Times" w:eastAsia="Times" w:cs="Times"/>
                                  <w:color w:val="000000"/>
                                  <w:lang w:val="en-US" w:bidi="ar-SA"/>
                                </w:rPr>
                                <w:t>Figure 1.  Constrained dispatch example.  Line 1-2 is limited to 175 MW of flow.</w:t>
                              </w:r>
                            </w:p>
                          </w:txbxContent>
                        </wps:txbx>
                        <wps:bodyPr wrap="square" anchor="t">
                          <a:noAutofit/>
                        </wps:bodyPr>
                      </wps:wsp>
                      <wps:wsp>
                        <wps:cNvSpPr txBox="1"/>
                        <wps:spPr>
                          <a:xfrm>
                            <a:off x="2370960" y="0"/>
                            <a:ext cx="1399680" cy="260280"/>
                          </a:xfrm>
                          <a:prstGeom prst="rect">
                            <a:avLst/>
                          </a:prstGeom>
                          <a:noFill/>
                          <a:ln w="0">
                            <a:noFill/>
                          </a:ln>
                        </wps:spPr>
                        <wps:txbx>
                          <w:txbxContent>
                            <w:p>
                              <w:pPr>
                                <w:overflowPunct w:val="false"/>
                                <w:autoSpaceDE w:val="false"/>
                                <w:bidi w:val="0"/>
                                <w:rPr/>
                              </w:pPr>
                              <w:r>
                                <w:rPr>
                                  <w:kern w:val="2"/>
                                  <w:sz w:val="22"/>
                                  <w:szCs w:val="22"/>
                                  <w:rFonts w:ascii="Times" w:hAnsi="Times" w:eastAsia="Times" w:cs="Times"/>
                                  <w:color w:val="000000"/>
                                  <w:lang w:val="en-US" w:bidi="ar-SA"/>
                                </w:rPr>
                                <w:t xml:space="preserve">275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12 $/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wps:txbx>
                        <wps:bodyPr wrap="square" anchor="ctr">
                          <a:noAutofit/>
                        </wps:bodyPr>
                      </wps:wsp>
                    </wpg:wgp>
                  </a:graphicData>
                </a:graphic>
              </wp:anchor>
            </w:drawing>
          </mc:Choice>
          <mc:Fallback>
            <w:pict>
              <v:group id="shape_0" style="position:absolute;margin-left:4.05pt;margin-top:2.3pt;width:387pt;height:130.05pt" coordorigin="81,46" coordsize="7740,2601">
                <v:line id="shape_0" from="3881,164" to="3890,573" stroked="t" o:allowincell="f" style="position:absolute">
                  <v:stroke color="black" weight="9360" endarrow="block" endarrowwidth="medium" endarrowlength="medium" joinstyle="miter" endcap="flat"/>
                  <v:fill o:detectmouseclick="t" on="false"/>
                  <w10:wrap type="none"/>
                </v:line>
                <v:line id="shape_0" from="3126,785" to="3865,1725" stroked="t" o:allowincell="f" style="position:absolute;flip:y">
                  <v:stroke color="black" weight="9360" joinstyle="miter" endcap="flat"/>
                  <v:fill o:detectmouseclick="t" on="false"/>
                  <w10:wrap type="none"/>
                </v:line>
                <v:line id="shape_0" from="2556,1837" to="2945,1837" stroked="t" o:allowincell="f" style="position:absolute;flip:x">
                  <v:stroke color="black" weight="9360" endarrow="block" endarrowwidth="medium" endarrowlength="medium" joinstyle="miter" endcap="flat"/>
                  <v:fill o:detectmouseclick="t" on="false"/>
                  <w10:wrap type="none"/>
                </v:line>
                <v:line id="shape_0" from="4886,1837" to="5275,1837" stroked="t" o:allowincell="f" style="position:absolute;flip:x">
                  <v:stroke color="black" weight="9360" endarrow="block" endarrowwidth="medium" endarrowlength="medium" joinstyle="miter" endcap="flat"/>
                  <v:fill o:detectmouseclick="t" on="false"/>
                  <w10:wrap type="none"/>
                </v:line>
                <v:shapetype id="_x0000_t202" coordsize="21600,21600" o:spt="202" path="m,l,21600l21600,21600l21600,xe">
                  <v:stroke joinstyle="miter"/>
                  <v:path gradientshapeok="t" o:connecttype="rect"/>
                </v:shapetype>
                <v:shape id="shape_0" stroked="f" o:allowincell="f" style="position:absolute;left:4376;top:909;width:509;height:409;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50</w:t>
                        </w:r>
                      </w:p>
                    </w:txbxContent>
                  </v:textbox>
                  <v:fill o:detectmouseclick="t" on="false"/>
                  <v:stroke color="#3465a4" joinstyle="round" endcap="flat"/>
                  <w10:wrap type="none"/>
                </v:shape>
                <v:shape id="shape_0" stroked="f" o:allowincell="f" style="position:absolute;left:3671;top:1867;width:619;height:409;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175</w:t>
                        </w:r>
                      </w:p>
                    </w:txbxContent>
                  </v:textbox>
                  <v:fill o:detectmouseclick="t" on="false"/>
                  <v:stroke color="#3465a4" joinstyle="round" endcap="flat"/>
                  <w10:wrap type="none"/>
                </v:shape>
                <v:shape id="shape_0" stroked="f" o:allowincell="f" style="position:absolute;left:5225;top:1607;width:2203;height:409;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 xml:space="preserve">125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10 $/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v:textbox>
                  <v:fill o:detectmouseclick="t" on="false"/>
                  <v:stroke color="#3465a4" joinstyle="round" endcap="flat"/>
                  <w10:wrap type="none"/>
                </v:shape>
                <v:shape id="shape_0" stroked="f" o:allowincell="f" style="position:absolute;left:2834;top:909;width:619;height:409;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225</w:t>
                        </w:r>
                      </w:p>
                    </w:txbxContent>
                  </v:textbox>
                  <v:fill o:detectmouseclick="t" on="false"/>
                  <v:stroke color="#3465a4" joinstyle="round" endcap="flat"/>
                  <w10:wrap type="none"/>
                </v:shape>
                <v:shape id="shape_0" stroked="f" o:allowincell="f" style="position:absolute;left:440;top:1607;width:2203;height:409;mso-wrap-style:none;v-text-anchor:middle" type="_x0000_t202">
                  <v:textbox>
                    <w:txbxContent>
                      <w:p>
                        <w:pPr>
                          <w:overflowPunct w:val="false"/>
                          <w:autoSpaceDE w:val="false"/>
                          <w:bidi w:val="0"/>
                          <w:jc w:val="end"/>
                          <w:rPr/>
                        </w:pPr>
                        <w:r>
                          <w:rPr>
                            <w:kern w:val="2"/>
                            <w:sz w:val="22"/>
                            <w:szCs w:val="22"/>
                            <w:rFonts w:ascii="Times" w:hAnsi="Times" w:eastAsia="Times" w:cs="Times"/>
                            <w:color w:val="000000"/>
                            <w:lang w:val="en-US" w:bidi="ar-SA"/>
                          </w:rPr>
                          <w:t xml:space="preserve">400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14 $/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v:textbox>
                  <v:fill o:detectmouseclick="t" on="false"/>
                  <v:stroke color="#3465a4" joinstyle="round" endcap="flat"/>
                  <w10:wrap type="none"/>
                </v:shape>
                <v:group id="shape_0" style="position:absolute;left:2869;top:560;width:2018;height:1456">
                  <v:line id="shape_0" from="3135,1835" to="4642,1835" stroked="t" o:allowincell="f" style="position:absolute">
                    <v:stroke color="black" weight="9360" joinstyle="miter" endcap="flat"/>
                    <v:fill o:detectmouseclick="t" on="false"/>
                    <w10:wrap type="none"/>
                  </v:line>
                  <v:line id="shape_0" from="3125,784" to="3863,1722" stroked="t" o:allowincell="f" style="position:absolute;flip:y">
                    <v:stroke color="black" weight="9360" joinstyle="miter" endcap="flat"/>
                    <v:fill o:detectmouseclick="t" on="false"/>
                    <w10:wrap type="none"/>
                  </v:line>
                  <v:line id="shape_0" from="3924,794" to="4662,1732" stroked="t" o:allowincell="f" style="position:absolute;flip:xy">
                    <v:stroke color="black" weight="9360" joinstyle="miter" endcap="flat"/>
                    <v:fill o:detectmouseclick="t" on="false"/>
                    <w10:wrap type="none"/>
                  </v:line>
                  <v:group id="shape_0" style="position:absolute;left:4487;top:1607;width:400;height:407">
                    <v:oval id="shape_0" fillcolor="white" stroked="t" o:allowincell="f" style="position:absolute;left:4508;top:1632;width:356;height:356;mso-wrap-style:none;v-text-anchor:middle">
                      <v:fill o:detectmouseclick="t" type="solid" color2="black"/>
                      <v:stroke color="black" weight="9360" joinstyle="miter" endcap="flat"/>
                      <w10:wrap type="none"/>
                    </v:oval>
                    <v:shape id="shape_0" stroked="f" o:allowincell="f" style="position:absolute;left:4487;top:1607;width:399;height:406;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1</w:t>
                            </w:r>
                          </w:p>
                        </w:txbxContent>
                      </v:textbox>
                      <v:fill o:detectmouseclick="t" on="false"/>
                      <v:stroke color="#3465a4" joinstyle="round" endcap="flat"/>
                      <w10:wrap type="none"/>
                    </v:shape>
                  </v:group>
                  <v:group id="shape_0" style="position:absolute;left:2869;top:1609;width:400;height:407">
                    <v:oval id="shape_0" fillcolor="white" stroked="t" o:allowincell="f" style="position:absolute;left:2890;top:1634;width:356;height:356;mso-wrap-style:none;v-text-anchor:middle">
                      <v:fill o:detectmouseclick="t" type="solid" color2="black"/>
                      <v:stroke color="black" weight="9360" joinstyle="miter" endcap="flat"/>
                      <w10:wrap type="none"/>
                    </v:oval>
                    <v:shape id="shape_0" stroked="f" o:allowincell="f" style="position:absolute;left:2869;top:1609;width:399;height:406;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2</w:t>
                            </w:r>
                          </w:p>
                        </w:txbxContent>
                      </v:textbox>
                      <v:fill o:detectmouseclick="t" on="false"/>
                      <v:stroke color="#3465a4" joinstyle="round" endcap="flat"/>
                      <w10:wrap type="none"/>
                    </v:shape>
                  </v:group>
                  <v:group id="shape_0" style="position:absolute;left:3678;top:560;width:400;height:407">
                    <v:oval id="shape_0" fillcolor="white" stroked="t" o:allowincell="f" style="position:absolute;left:3699;top:585;width:356;height:356;mso-wrap-style:none;v-text-anchor:middle">
                      <v:fill o:detectmouseclick="t" type="solid" color2="black"/>
                      <v:stroke color="black" weight="9360" joinstyle="miter" endcap="flat"/>
                      <w10:wrap type="none"/>
                    </v:oval>
                    <v:shape id="shape_0" stroked="f" o:allowincell="f" style="position:absolute;left:3678;top:560;width:399;height:406;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3</w:t>
                            </w:r>
                          </w:p>
                        </w:txbxContent>
                      </v:textbox>
                      <v:fill o:detectmouseclick="t" on="false"/>
                      <v:stroke color="#3465a4" joinstyle="round" endcap="flat"/>
                      <w10:wrap type="none"/>
                    </v:shape>
                  </v:group>
                </v:group>
                <v:line id="shape_0" from="3466,1957" to="4235,1957" stroked="t" o:allowincell="f" style="position:absolute;flip:x">
                  <v:stroke color="black" weight="9360" endarrow="open" endarrowwidth="medium" endarrowlength="medium" joinstyle="miter" endcap="flat"/>
                  <v:fill o:detectmouseclick="t" on="false"/>
                  <w10:wrap type="none"/>
                </v:line>
                <v:line id="shape_0" from="3136,945" to="3565,1495" stroked="t" o:allowincell="f" style="position:absolute;flip:y">
                  <v:stroke color="black" weight="9360" startarrow="open" startarrowwidth="medium" startarrowlength="medium" joinstyle="miter" endcap="flat"/>
                  <v:fill o:detectmouseclick="t" on="false"/>
                  <w10:wrap type="none"/>
                </v:line>
                <v:line id="shape_0" from="4206,955" to="4635,1505" stroked="t" o:allowincell="f" style="position:absolute;flip:xy">
                  <v:stroke color="black" weight="9360" startarrow="open" startarrowwidth="medium" startarrowlength="medium" joinstyle="miter" endcap="flat"/>
                  <v:fill o:detectmouseclick="t" on="false"/>
                  <w10:wrap type="none"/>
                </v:line>
                <v:shape id="shape_0" stroked="f" o:allowincell="f" style="position:absolute;left:81;top:2237;width:7739;height:409;mso-wrap-style:square;v-text-anchor:top" type="_x0000_t202">
                  <v:textbox>
                    <w:txbxContent>
                      <w:p>
                        <w:pPr>
                          <w:overflowPunct w:val="false"/>
                          <w:autoSpaceDE w:val="false"/>
                          <w:bidi w:val="0"/>
                          <w:jc w:val="center"/>
                          <w:rPr/>
                        </w:pPr>
                        <w:r>
                          <w:rPr>
                            <w:kern w:val="2"/>
                            <w:sz w:val="22"/>
                            <w:szCs w:val="22"/>
                            <w:rFonts w:ascii="Times" w:hAnsi="Times" w:eastAsia="Times" w:cs="Times"/>
                            <w:color w:val="000000"/>
                            <w:lang w:val="en-US" w:bidi="ar-SA"/>
                          </w:rPr>
                          <w:t>Figure 1.  Constrained dispatch example.  Line 1-2 is limited to 175 MW of flow.</w:t>
                        </w:r>
                      </w:p>
                    </w:txbxContent>
                  </v:textbox>
                  <v:fill o:detectmouseclick="t" on="false"/>
                  <v:stroke color="#3465a4" joinstyle="round" endcap="flat"/>
                  <w10:wrap type="none"/>
                </v:shape>
                <v:shape id="shape_0" stroked="f" o:allowincell="f" style="position:absolute;left:3815;top:46;width:2203;height:409;mso-wrap-style:none;v-text-anchor:middle" type="_x0000_t202">
                  <v:textbox>
                    <w:txbxContent>
                      <w:p>
                        <w:pPr>
                          <w:overflowPunct w:val="false"/>
                          <w:autoSpaceDE w:val="false"/>
                          <w:bidi w:val="0"/>
                          <w:rPr/>
                        </w:pPr>
                        <w:r>
                          <w:rPr>
                            <w:kern w:val="2"/>
                            <w:sz w:val="22"/>
                            <w:szCs w:val="22"/>
                            <w:rFonts w:ascii="Times" w:hAnsi="Times" w:eastAsia="Times" w:cs="Times"/>
                            <w:color w:val="000000"/>
                            <w:lang w:val="en-US" w:bidi="ar-SA"/>
                          </w:rPr>
                          <w:t xml:space="preserve">275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 xml:space="preserve"> @ 12 $/</w:t>
                        </w:r>
                        <w:r>
                          <w:rPr>
                            <w:kern w:val="2"/>
                            <w:sz w:val="18"/>
                            <w:szCs w:val="18"/>
                            <w:rFonts w:ascii="Times" w:hAnsi="Times" w:eastAsia="Times" w:cs="Times"/>
                            <w:color w:val="000000"/>
                            <w:lang w:val="en-US" w:bidi="ar-SA"/>
                          </w:rPr>
                          <w:t>MW</w:t>
                        </w:r>
                        <w:r>
                          <w:rPr>
                            <w:kern w:val="2"/>
                            <w:sz w:val="22"/>
                            <w:szCs w:val="22"/>
                            <w:rFonts w:ascii="Times" w:hAnsi="Times" w:eastAsia="Times" w:cs="Times"/>
                            <w:color w:val="000000"/>
                            <w:lang w:val="en-US" w:bidi="ar-SA"/>
                          </w:rPr>
                          <w:t>h</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Consider a firm selling 275 MW that it injects at Node 3 for sale to a load at Node 2.  This firm faces a congestion charge of 2 $/MWh (14 $/MWh – 12 $/MWh).  To hedge against this charge, the firm could purchase an FTR.  This FTR would pay the firm the price differential between Zones 2 and 3.  Therefore, if the firm were to flow the 275 MW of power between Nodes 3 and 2 and simultaneously hold and equal quantity of FTRs for the same pair of nodes, the firm would pay 550 $/h (275 MW * 2 $/MWh) in congestion charges and receive 550 $/h in FTR credits.</w:t>
      </w:r>
    </w:p>
    <w:p>
      <w:pPr>
        <w:pStyle w:val="Normal"/>
        <w:rPr/>
      </w:pPr>
      <w:r>
        <w:rPr/>
      </w:r>
    </w:p>
    <w:p>
      <w:pPr>
        <w:pStyle w:val="Normal"/>
        <w:rPr/>
      </w:pPr>
      <w:r>
        <w:rPr/>
        <w:t>In fact, even if the price differential were different, the net outcome would be the same.  For some systems, in the case that the congestion goes the “wrong” way, the hedge still works.  The congestion charge and the FTR credit go the other way, but the net is still zero.  The downside of this bi-directional behavior is that for speculators holding an FTR, if the congestion is in the other direction, money may be owed to the system operator.  From a hedging perspective however, the bidirectional nature makes the hedge work under many price outcomes.</w:t>
      </w:r>
    </w:p>
    <w:p>
      <w:pPr>
        <w:pStyle w:val="Normal"/>
        <w:rPr/>
      </w:pPr>
      <w:r>
        <w:rPr/>
      </w:r>
    </w:p>
    <w:p>
      <w:pPr>
        <w:pStyle w:val="Normal"/>
        <w:rPr/>
      </w:pPr>
      <w:r>
        <w:rPr/>
        <w:t>Of course, there is no free lunch.  The FTRs were purchased at some point so avoiding congestion charge risk is not free either.  In some sense, FTRs can be thought of as pre-paid congestion.</w:t>
      </w:r>
    </w:p>
    <w:p>
      <w:pPr>
        <w:pStyle w:val="Normal"/>
        <w:rPr/>
      </w:pPr>
      <w:r>
        <w:rPr/>
      </w:r>
    </w:p>
    <w:p>
      <w:pPr>
        <w:pStyle w:val="Normal"/>
        <w:rPr/>
      </w:pPr>
      <w:r>
        <w:rPr/>
        <w:t>Just as the individual firm in the example balanced the congestion charges with the FTR credits, the system operator should maintain a similar balance.  The system operator should collect congestion charges across the entire system and pay out credits to all FTR holders.  If there are more congested megawatts flowing than there are FTR holders for those congested paths, then the system operator ends up with too much money.  Of course, “too much money” is a problem that rarely lasts.  Via some settlement mechanism, the system operator pays out any so-called excess revenue to some set of parties.</w:t>
      </w:r>
    </w:p>
    <w:p>
      <w:pPr>
        <w:pStyle w:val="Normal"/>
        <w:rPr/>
      </w:pPr>
      <w:r>
        <w:rPr/>
      </w:r>
    </w:p>
    <w:p>
      <w:pPr>
        <w:pStyle w:val="Normal"/>
        <w:rPr/>
      </w:pPr>
      <w:r>
        <w:rPr/>
        <w:t>Since the revenue balance depends on the number of FTRs outstanding, the quantity of FTRs to release into the market is very important.  Typically, the total number for any path is tied to the total transfer capability of that path.  In PJM-like systems, this usually means that the amount of “congested” megawatts equals the number of outstanding FTRs, and the system is “revenue adequate.”</w:t>
      </w:r>
    </w:p>
    <w:p>
      <w:pPr>
        <w:pStyle w:val="Normal"/>
        <w:rPr/>
      </w:pPr>
      <w:r>
        <w:rPr/>
      </w:r>
    </w:p>
    <w:p>
      <w:pPr>
        <w:pStyle w:val="Normal"/>
        <w:rPr/>
      </w:pPr>
      <w:r>
        <w:rPr/>
        <w:t>Derating:  When There Is Too Little To Go Around</w:t>
      </w:r>
    </w:p>
    <w:p>
      <w:pPr>
        <w:pStyle w:val="Normal"/>
        <w:rPr/>
      </w:pPr>
      <w:r>
        <w:rPr/>
      </w:r>
    </w:p>
    <w:p>
      <w:pPr>
        <w:pStyle w:val="Normal"/>
        <w:rPr/>
      </w:pPr>
      <w:r>
        <w:rPr/>
        <w:t>Revenue adequacy seems assured as long as the total transfer capability is correctly computed.  This actually can present problems.  In real-time, transfer capabilities may be reduced, say because of a line outage.  In this case, there can be too few megawatts for congestion charges relative to the original number of FTRs outstanding.</w:t>
      </w:r>
    </w:p>
    <w:p>
      <w:pPr>
        <w:pStyle w:val="Normal"/>
        <w:rPr/>
      </w:pPr>
      <w:r>
        <w:rPr/>
      </w:r>
    </w:p>
    <w:p>
      <w:pPr>
        <w:pStyle w:val="Normal"/>
        <w:rPr/>
      </w:pPr>
      <w:r>
        <w:rPr/>
        <w:t>To solve this problem, many systems use derating whereby the system operator pays a pro-rated amount of credits.  For example, if a line is reduced in capacity from 100 MW to 75 MW and 100 MW of FTR were originally sold, then the FTR holders may be paid only three quarters of the price differential, rather than the full differential.  Needless to say, derating creates the potential to be underhedged in real-time, even though a firm may have been fully hedged earlier.</w:t>
      </w:r>
    </w:p>
    <w:p>
      <w:pPr>
        <w:pStyle w:val="Normal"/>
        <w:rPr/>
      </w:pPr>
      <w:r>
        <w:rPr/>
      </w:r>
    </w:p>
    <w:p>
      <w:pPr>
        <w:pStyle w:val="Normal"/>
        <w:rPr/>
      </w:pPr>
      <w:r>
        <w:rPr/>
        <w:t>Some Differences to Consider</w:t>
      </w:r>
    </w:p>
    <w:p>
      <w:pPr>
        <w:pStyle w:val="Normal"/>
        <w:rPr/>
      </w:pPr>
      <w:r>
        <w:rPr/>
      </w:r>
    </w:p>
    <w:p>
      <w:pPr>
        <w:pStyle w:val="Normal"/>
        <w:rPr/>
      </w:pPr>
      <w:r>
        <w:rPr/>
        <w:t xml:space="preserve">While financial instruments for congestion charge hedging are similar, there are fundamental differences that can exist.  The TCRs in ERCOT are currently under design, but the Public Utility Commission currently favors one-way TCRs that cannot be derated.  This is unlike the FTRs of PJM where congestion can “go against you” and also be derated.  This means that holders of TCRs in ERCOT cannot lose money beyond what they may have paid to acquire them.  </w:t>
      </w:r>
      <w:r>
        <w:rPr>
          <w:i/>
          <w:iCs/>
        </w:rPr>
        <w:t>Caveat emptor</w:t>
      </w:r>
      <w:r>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2001-10-29T01:00:00Z</dcterms:created>
  <dc:creator>Martin Lin</dc:creator>
  <dc:description/>
  <dc:language>en-CA</dc:language>
  <cp:lastModifiedBy>mlin</cp:lastModifiedBy>
  <dcterms:modified xsi:type="dcterms:W3CDTF">2001-10-29T12:33:00Z</dcterms:modified>
  <cp:revision>6</cp:revision>
  <dc:subject/>
  <dc:title>Financial Hedges for Transmission Congestion</dc:title>
</cp:coreProperties>
</file>