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Goldman, Sachs &amp; Co.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Natural Gas CEO Summit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March 18-20,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The St. Regis Aspen*Aspen, CO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Monday, March 19, 2001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8:45-9:20 a.m.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Electricity Markets in the United States:  Sustained tight markets or will a more balanced one re-emerge?…When?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Rich Kinder; Steve Bergstrom; Rick Priory; Mark Frevert, President, Enron Wholesale; Jonathan Raleigh, Managing Director, Goldman Sachs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Is the country facing sustained tight markets?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Will volatility and prices remain high or lessen?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fast can generation be added and what returnes should be expected?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Can companies make major profits owning generation long term?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Is this the time to sell generation?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will the supply/demand balance change in various regions of the country?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Will natural gas continue to capture virtually all the growth or will coal make gains?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t>(This information will be from Kevin Presto &amp; Jim Steffes)</w:t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  <w:tab/>
        <w:tab/>
        <w:tab/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Goldman, Sachs &amp; Co.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Natural Gas CEO Summit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March 18-20,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The St. Regis Aspen*Aspen, CO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Monday, March 19, 2001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9:20-10:10 a.m.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Marketing:  The growth business?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Ralph Eads, Executive VP, El Paso; Mark Frevert; Lou Pai; Steve Bergstrom; Bill Hobbs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big is the opportunity?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Is it too late for new entrants?  What are the barriers to entry?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Will only a handful of companies be the big winners?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Are margins likely to fall as volatility and prices likely decline?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differentiated are the strategies of the competitors?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significant is the retail opportunity?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What is the impact of mark to market accounting on the business and how broadly is it being utilized?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How will online trading platforms impact industry profitability?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Are the skills created transferable to other commodities and products?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Goldman, Sachs &amp; Co.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Natural Gas CEO Summit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March 18-20, 2001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  <w:t>The St. Regis Aspen*Aspen, CO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Monday, March 19, 2001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3:00-5:00 p.m.</w:t>
      </w:r>
    </w:p>
    <w:p>
      <w:pPr>
        <w:pStyle w:val="Normal"/>
        <w:rPr>
          <w:rFonts w:ascii="Comic Sans MS" w:hAnsi="Comic Sans MS" w:cs="Comic Sans MS"/>
          <w:b/>
          <w:bCs/>
          <w:sz w:val="28"/>
        </w:rPr>
      </w:pPr>
      <w:r>
        <w:rPr>
          <w:rFonts w:cs="Comic Sans MS" w:ascii="Comic Sans MS" w:hAnsi="Comic Sans MS"/>
          <w:b/>
          <w:bCs/>
          <w:sz w:val="28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Technical Panels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What is marketing and how do you make money?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Enron, Williams, El Paso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Is retail energy servies for real?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Enron, Equitable, Duke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MLPs:  A great tool to grow with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Crunching the numbers with Kinder Morgan, El Paso, Enbridge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Electric Market Outlook for 2001 and beyond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  <w:t>Jonathan Raleigh; Greg Gordon, Vice President, Goldman Sachs</w:t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p>
      <w:pPr>
        <w:pStyle w:val="Normal"/>
        <w:rPr>
          <w:rFonts w:ascii="Comic Sans MS" w:hAnsi="Comic Sans MS" w:cs="Comic Sans MS"/>
          <w:sz w:val="22"/>
        </w:rPr>
      </w:pPr>
      <w:r>
        <w:rPr>
          <w:rFonts w:cs="Comic Sans MS" w:ascii="Comic Sans MS" w:hAnsi="Comic Sans MS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2001-03-06T17:39:00Z</dcterms:created>
  <dc:creator>Tammie Schoppe</dc:creator>
  <dc:description/>
  <dc:language>en-CA</dc:language>
  <cp:lastModifiedBy>Tammie Schoppe</cp:lastModifiedBy>
  <cp:lastPrinted>2001-03-06T14:56:00Z</cp:lastPrinted>
  <dcterms:modified xsi:type="dcterms:W3CDTF">2001-03-06T19:21:00Z</dcterms:modified>
  <cp:revision>1</cp:revision>
  <dc:subject/>
  <dc:title>Goldman, Sachs &amp; Co</dc:title>
</cp:coreProperties>
</file>