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png" ContentType="image/png"/>
  <Override PartName="/word/media/image2.wmf" ContentType="image/x-wmf"/>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left" w:pos="360" w:leader="none"/>
        </w:tabs>
        <w:ind w:hanging="0" w:start="0"/>
        <w:jc w:val="end"/>
        <w:rPr>
          <w:u w:val="single"/>
        </w:rPr>
      </w:pPr>
      <w:r>
        <w:rPr>
          <w:u w:val="single"/>
        </w:rPr>
        <w:t>DRAFT</w:t>
      </w:r>
    </w:p>
    <w:p>
      <w:pPr>
        <w:pStyle w:val="Heading1"/>
        <w:tabs>
          <w:tab w:val="clear" w:pos="720"/>
          <w:tab w:val="left" w:pos="360" w:leader="none"/>
        </w:tabs>
        <w:ind w:hanging="0" w:start="0"/>
        <w:rPr>
          <w:caps w:val="false"/>
          <w:smallCaps w:val="false"/>
          <w:sz w:val="24"/>
        </w:rPr>
      </w:pPr>
      <w:r>
        <w:rPr>
          <w:caps w:val="false"/>
          <w:smallCaps w:val="false"/>
          <w:sz w:val="24"/>
        </w:rPr>
        <w:t>Proposal</w:t>
      </w:r>
    </w:p>
    <w:p>
      <w:pPr>
        <w:pStyle w:val="Heading1"/>
        <w:tabs>
          <w:tab w:val="clear" w:pos="720"/>
          <w:tab w:val="left" w:pos="360" w:leader="none"/>
        </w:tabs>
        <w:ind w:hanging="0" w:start="0"/>
        <w:rPr>
          <w:caps w:val="false"/>
          <w:smallCaps w:val="false"/>
          <w:sz w:val="24"/>
        </w:rPr>
      </w:pPr>
      <w:r>
        <w:rPr>
          <w:caps w:val="false"/>
          <w:smallCaps w:val="false"/>
          <w:sz w:val="24"/>
        </w:rPr>
        <w:t xml:space="preserve"> </w:t>
      </w:r>
      <w:r>
        <w:rPr>
          <w:caps w:val="false"/>
          <w:smallCaps w:val="false"/>
          <w:sz w:val="24"/>
        </w:rPr>
        <w:t>To</w:t>
      </w:r>
    </w:p>
    <w:p>
      <w:pPr>
        <w:pStyle w:val="Normal"/>
        <w:tabs>
          <w:tab w:val="clear" w:pos="720"/>
          <w:tab w:val="left" w:pos="360" w:leader="none"/>
        </w:tabs>
        <w:jc w:val="center"/>
        <w:rPr>
          <w:b/>
        </w:rPr>
      </w:pPr>
      <w:r>
        <w:rPr>
          <w:b/>
        </w:rPr>
        <w:t>Energy Marketing &amp; Trading Division</w:t>
      </w:r>
    </w:p>
    <w:p>
      <w:pPr>
        <w:pStyle w:val="Normal"/>
        <w:tabs>
          <w:tab w:val="clear" w:pos="720"/>
          <w:tab w:val="left" w:pos="360" w:leader="none"/>
        </w:tabs>
        <w:jc w:val="center"/>
        <w:rPr>
          <w:b/>
        </w:rPr>
      </w:pPr>
      <w:r>
        <w:rPr>
          <w:b/>
        </w:rPr>
        <w:t>Florida Power &amp; Light Co.</w:t>
      </w:r>
    </w:p>
    <w:p>
      <w:pPr>
        <w:pStyle w:val="Normal"/>
        <w:tabs>
          <w:tab w:val="clear" w:pos="720"/>
          <w:tab w:val="left" w:pos="360" w:leader="none"/>
        </w:tabs>
        <w:jc w:val="center"/>
        <w:rPr>
          <w:b/>
        </w:rPr>
      </w:pPr>
      <w:r>
        <w:rPr>
          <w:b/>
        </w:rPr>
        <w:t>By</w:t>
      </w:r>
    </w:p>
    <w:p>
      <w:pPr>
        <w:pStyle w:val="Normal"/>
        <w:tabs>
          <w:tab w:val="clear" w:pos="720"/>
          <w:tab w:val="left" w:pos="360" w:leader="none"/>
        </w:tabs>
        <w:jc w:val="center"/>
        <w:rPr>
          <w:b/>
          <w:smallCaps/>
          <w:sz w:val="22"/>
        </w:rPr>
      </w:pPr>
      <w:r>
        <w:rPr>
          <w:b/>
        </w:rPr>
        <w:t>Enron Capital &amp; Trade Resources Corp.</w:t>
      </w:r>
    </w:p>
    <w:p>
      <w:pPr>
        <w:pStyle w:val="Heading1"/>
        <w:tabs>
          <w:tab w:val="clear" w:pos="720"/>
          <w:tab w:val="left" w:pos="360" w:leader="none"/>
        </w:tabs>
        <w:ind w:hanging="0" w:start="0"/>
        <w:rPr/>
      </w:pPr>
      <w:r>
        <w:rPr>
          <w:b w:val="false"/>
          <w:caps w:val="false"/>
          <w:smallCaps w:val="false"/>
        </w:rPr>
        <w:t>June</w:t>
      </w:r>
      <w:r>
        <w:rPr>
          <w:b w:val="false"/>
        </w:rPr>
        <w:t xml:space="preserve"> 9, 1999</w:t>
      </w:r>
    </w:p>
    <w:p>
      <w:pPr>
        <w:pStyle w:val="Normal"/>
        <w:tabs>
          <w:tab w:val="clear" w:pos="720"/>
          <w:tab w:val="left" w:pos="360" w:leader="none"/>
        </w:tabs>
        <w:jc w:val="both"/>
        <w:rPr>
          <w:b/>
          <w:smallCaps/>
          <w:sz w:val="22"/>
        </w:rPr>
      </w:pPr>
      <w:r>
        <w:rPr>
          <w:b/>
          <w:smallCaps/>
          <w:sz w:val="22"/>
        </w:rPr>
      </w:r>
    </w:p>
    <w:p>
      <w:pPr>
        <w:pStyle w:val="Normal"/>
        <w:tabs>
          <w:tab w:val="clear" w:pos="720"/>
          <w:tab w:val="left" w:pos="360" w:leader="none"/>
        </w:tabs>
        <w:jc w:val="both"/>
        <w:rPr>
          <w:b/>
          <w:smallCaps/>
          <w:sz w:val="22"/>
        </w:rPr>
      </w:pPr>
      <w:r>
        <w:rPr>
          <w:b/>
          <w:smallCaps/>
          <w:sz w:val="22"/>
        </w:rPr>
      </w:r>
    </w:p>
    <w:p>
      <w:pPr>
        <w:pStyle w:val="Normal"/>
        <w:tabs>
          <w:tab w:val="clear" w:pos="720"/>
          <w:tab w:val="left" w:pos="360" w:leader="none"/>
        </w:tabs>
        <w:spacing w:lineRule="auto" w:line="360"/>
        <w:jc w:val="both"/>
        <w:rPr/>
      </w:pPr>
      <w:r>
        <w:rPr>
          <w:b/>
          <w:sz w:val="22"/>
        </w:rPr>
        <w:t>Buyer</w:t>
      </w:r>
      <w:r>
        <w:rPr>
          <w:b/>
          <w:smallCaps/>
          <w:sz w:val="22"/>
        </w:rPr>
        <w:t>:</w:t>
        <w:tab/>
        <w:tab/>
      </w:r>
      <w:r>
        <w:rPr>
          <w:sz w:val="22"/>
        </w:rPr>
        <w:t>Energy Marketing &amp; Trading Division of Florida Power &amp; Light Co. (“FP&amp;L”)</w:t>
      </w:r>
    </w:p>
    <w:p>
      <w:pPr>
        <w:pStyle w:val="Normal"/>
        <w:tabs>
          <w:tab w:val="clear" w:pos="720"/>
          <w:tab w:val="left" w:pos="360" w:leader="none"/>
        </w:tabs>
        <w:spacing w:lineRule="auto" w:line="360"/>
        <w:jc w:val="both"/>
        <w:rPr/>
      </w:pPr>
      <w:r>
        <w:rPr>
          <w:b/>
        </w:rPr>
        <w:t>Seller</w:t>
      </w:r>
      <w:r>
        <w:rPr>
          <w:b/>
          <w:smallCaps/>
        </w:rPr>
        <w:t>:</w:t>
        <w:tab/>
        <w:tab/>
      </w:r>
      <w:r>
        <w:rPr/>
        <w:t>Enron Capital &amp; Trade Resources Corp. (“ECT”)</w:t>
      </w:r>
    </w:p>
    <w:p>
      <w:pPr>
        <w:pStyle w:val="Heading1"/>
        <w:tabs>
          <w:tab w:val="clear" w:pos="720"/>
          <w:tab w:val="left" w:pos="360" w:leader="none"/>
        </w:tabs>
        <w:ind w:hanging="0" w:start="0"/>
        <w:rPr>
          <w:caps w:val="false"/>
          <w:smallCaps w:val="false"/>
        </w:rPr>
      </w:pPr>
      <w:r>
        <w:rPr>
          <w:caps w:val="false"/>
          <w:smallCaps w:val="false"/>
        </w:rPr>
        <w:t>Description of Transaction</w:t>
      </w:r>
    </w:p>
    <w:p>
      <w:pPr>
        <w:pStyle w:val="Normal"/>
        <w:tabs>
          <w:tab w:val="clear" w:pos="720"/>
          <w:tab w:val="left" w:pos="360" w:leader="none"/>
        </w:tabs>
        <w:jc w:val="both"/>
        <w:rPr>
          <w:b/>
          <w:smallCaps/>
          <w:sz w:val="22"/>
          <w:u w:val="single"/>
        </w:rPr>
      </w:pPr>
      <w:r>
        <w:rPr>
          <w:b/>
          <w:smallCaps/>
          <w:sz w:val="22"/>
          <w:u w:val="single"/>
        </w:rPr>
      </w:r>
    </w:p>
    <w:p>
      <w:pPr>
        <w:pStyle w:val="Normal"/>
        <w:tabs>
          <w:tab w:val="clear" w:pos="720"/>
          <w:tab w:val="left" w:pos="0" w:leader="none"/>
        </w:tabs>
        <w:jc w:val="both"/>
        <w:rPr>
          <w:sz w:val="22"/>
        </w:rPr>
      </w:pPr>
      <w:r>
        <w:rPr>
          <w:sz w:val="22"/>
        </w:rPr>
        <w:t>The purpose of this proposal is to outline general terms and conditions for a new firm gas supply contract between FP&amp;L and ECT.  The new contract provides approximately one-third of FP&amp;L’s total requirements, including incorporation of the existing Citrus Trading II contract quantities and obligations.  This new contract will more closely match FP&amp;L’s requirements and strategies for the future in terms of quantities, pricing, firmness, flexibility, hedging/price management, and administration.</w:t>
      </w:r>
    </w:p>
    <w:p>
      <w:pPr>
        <w:pStyle w:val="Normal"/>
        <w:jc w:val="both"/>
        <w:rPr>
          <w:b/>
          <w:smallCaps/>
          <w:sz w:val="22"/>
        </w:rPr>
      </w:pPr>
      <w:r>
        <w:rPr>
          <w:b/>
          <w:smallCaps/>
          <w:sz w:val="22"/>
        </w:rPr>
      </w:r>
    </w:p>
    <w:p>
      <w:pPr>
        <w:pStyle w:val="Heading1"/>
        <w:ind w:hanging="0" w:start="0"/>
        <w:rPr>
          <w:caps w:val="false"/>
          <w:smallCaps w:val="false"/>
        </w:rPr>
      </w:pPr>
      <w:r>
        <w:rPr>
          <w:caps w:val="false"/>
          <w:smallCaps w:val="false"/>
        </w:rPr>
        <w:t>Term of Agreement</w:t>
      </w:r>
    </w:p>
    <w:p>
      <w:pPr>
        <w:pStyle w:val="Normal"/>
        <w:ind w:hanging="1440" w:end="0"/>
        <w:jc w:val="both"/>
        <w:rPr>
          <w:b/>
          <w:smallCaps/>
          <w:sz w:val="22"/>
        </w:rPr>
      </w:pPr>
      <w:r>
        <w:rPr>
          <w:b/>
          <w:smallCaps/>
          <w:sz w:val="22"/>
        </w:rPr>
      </w:r>
    </w:p>
    <w:p>
      <w:pPr>
        <w:pStyle w:val="Normal"/>
        <w:jc w:val="both"/>
        <w:rPr>
          <w:sz w:val="22"/>
        </w:rPr>
      </w:pPr>
      <w:r>
        <w:rPr>
          <w:sz w:val="22"/>
        </w:rPr>
        <w:t xml:space="preserve">Initial term from July 1, 1999 through February 28, 2010. </w:t>
      </w:r>
    </w:p>
    <w:p>
      <w:pPr>
        <w:pStyle w:val="Normal"/>
        <w:jc w:val="center"/>
        <w:rPr>
          <w:b/>
          <w:smallCaps/>
          <w:sz w:val="22"/>
        </w:rPr>
      </w:pPr>
      <w:r>
        <w:rPr>
          <w:b/>
          <w:smallCaps/>
          <w:sz w:val="22"/>
        </w:rPr>
      </w:r>
    </w:p>
    <w:p>
      <w:pPr>
        <w:pStyle w:val="Normal"/>
        <w:jc w:val="center"/>
        <w:rPr>
          <w:b/>
          <w:smallCaps/>
          <w:sz w:val="22"/>
        </w:rPr>
      </w:pPr>
      <w:r>
        <w:rPr>
          <w:b/>
          <w:sz w:val="22"/>
        </w:rPr>
        <w:t>Contract Quantity</w:t>
      </w:r>
      <w:r>
        <w:rPr>
          <w:b/>
          <w:smallCaps/>
          <w:sz w:val="22"/>
        </w:rPr>
        <w:t xml:space="preserve"> </w:t>
      </w:r>
      <w:r>
        <w:rPr>
          <w:sz w:val="22"/>
        </w:rPr>
        <w:t>(also see Exhibit “A” attached)</w:t>
      </w:r>
    </w:p>
    <w:p>
      <w:pPr>
        <w:pStyle w:val="Normal"/>
        <w:tabs>
          <w:tab w:val="clear" w:pos="720"/>
          <w:tab w:val="left" w:pos="360" w:leader="none"/>
        </w:tabs>
        <w:jc w:val="both"/>
        <w:rPr>
          <w:b/>
          <w:smallCaps/>
          <w:sz w:val="22"/>
        </w:rPr>
      </w:pPr>
      <w:r>
        <w:rPr>
          <w:b/>
          <w:smallCaps/>
          <w:sz w:val="22"/>
        </w:rPr>
      </w:r>
    </w:p>
    <w:p>
      <w:pPr>
        <w:pStyle w:val="Normal"/>
        <w:tabs>
          <w:tab w:val="clear" w:pos="720"/>
          <w:tab w:val="left" w:pos="360" w:leader="none"/>
        </w:tabs>
        <w:jc w:val="both"/>
        <w:rPr>
          <w:sz w:val="22"/>
        </w:rPr>
      </w:pPr>
      <w:r>
        <w:rPr>
          <w:sz w:val="22"/>
        </w:rPr>
        <w:t>The Daily Contract Quantity (DCQ) under the new Agreement shall be:</w:t>
      </w:r>
    </w:p>
    <w:p>
      <w:pPr>
        <w:pStyle w:val="Normal"/>
        <w:tabs>
          <w:tab w:val="clear" w:pos="720"/>
          <w:tab w:val="left" w:pos="360" w:leader="none"/>
        </w:tabs>
        <w:jc w:val="both"/>
        <w:rPr>
          <w:sz w:val="22"/>
        </w:rPr>
      </w:pPr>
      <w:r>
        <w:rPr>
          <w:sz w:val="22"/>
        </w:rPr>
        <w:t xml:space="preserve"> </w:t>
      </w:r>
    </w:p>
    <w:p>
      <w:pPr>
        <w:pStyle w:val="Normal"/>
        <w:tabs>
          <w:tab w:val="clear" w:pos="720"/>
          <w:tab w:val="left" w:pos="360" w:leader="none"/>
        </w:tabs>
        <w:jc w:val="both"/>
        <w:rPr>
          <w:b/>
          <w:sz w:val="22"/>
        </w:rPr>
      </w:pPr>
      <w:r>
        <w:rPr>
          <w:b/>
          <w:sz w:val="22"/>
        </w:rPr>
        <w:t>Existing Volumes:</w:t>
      </w:r>
    </w:p>
    <w:p>
      <w:pPr>
        <w:pStyle w:val="Normal"/>
        <w:tabs>
          <w:tab w:val="clear" w:pos="720"/>
          <w:tab w:val="left" w:pos="360" w:leader="none"/>
        </w:tabs>
        <w:jc w:val="both"/>
        <w:rPr>
          <w:b/>
          <w:sz w:val="22"/>
        </w:rPr>
      </w:pPr>
      <w:r>
        <w:rPr>
          <w:b/>
          <w:sz w:val="22"/>
        </w:rPr>
      </w:r>
    </w:p>
    <w:p>
      <w:pPr>
        <w:pStyle w:val="Normal"/>
        <w:tabs>
          <w:tab w:val="clear" w:pos="720"/>
          <w:tab w:val="left" w:pos="360" w:leader="none"/>
        </w:tabs>
        <w:jc w:val="both"/>
        <w:rPr>
          <w:b/>
          <w:i/>
          <w:i/>
          <w:sz w:val="22"/>
          <w:u w:val="single"/>
        </w:rPr>
      </w:pPr>
      <w:r>
        <w:rPr>
          <w:b/>
          <w:i/>
          <w:sz w:val="22"/>
          <w:u w:val="single"/>
        </w:rPr>
        <w:t>July 1, 1999 – Feb. 28, 2010</w:t>
        <w:tab/>
        <w:tab/>
        <w:tab/>
        <w:tab/>
        <w:tab/>
        <w:t>Citrus Trading II Baseload Quantities</w:t>
        <w:tab/>
      </w:r>
    </w:p>
    <w:p>
      <w:pPr>
        <w:pStyle w:val="Normal"/>
        <w:tabs>
          <w:tab w:val="clear" w:pos="720"/>
          <w:tab w:val="left" w:pos="360" w:leader="none"/>
        </w:tabs>
        <w:jc w:val="both"/>
        <w:rPr>
          <w:b/>
          <w:i/>
          <w:i/>
          <w:sz w:val="22"/>
          <w:u w:val="single"/>
        </w:rPr>
      </w:pPr>
      <w:r>
        <w:rPr>
          <w:b/>
          <w:i/>
          <w:sz w:val="22"/>
          <w:u w:val="single"/>
        </w:rPr>
      </w:r>
    </w:p>
    <w:tbl>
      <w:tblPr>
        <w:tblW w:w="7104" w:type="dxa"/>
        <w:jc w:val="start"/>
        <w:tblInd w:w="0" w:type="dxa"/>
        <w:tblLayout w:type="fixed"/>
        <w:tblCellMar>
          <w:top w:w="0" w:type="dxa"/>
          <w:start w:w="108" w:type="dxa"/>
          <w:bottom w:w="0" w:type="dxa"/>
          <w:end w:w="108" w:type="dxa"/>
        </w:tblCellMar>
      </w:tblPr>
      <w:tblGrid>
        <w:gridCol w:w="720"/>
        <w:gridCol w:w="3192"/>
        <w:gridCol w:w="3192"/>
      </w:tblGrid>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Winter (October – April)</w:t>
            </w:r>
          </w:p>
        </w:tc>
        <w:tc>
          <w:tcPr>
            <w:tcW w:w="3192" w:type="dxa"/>
            <w:tcBorders/>
          </w:tcPr>
          <w:p>
            <w:pPr>
              <w:pStyle w:val="Normal"/>
              <w:tabs>
                <w:tab w:val="clear" w:pos="720"/>
                <w:tab w:val="left" w:pos="360" w:leader="none"/>
              </w:tabs>
              <w:jc w:val="both"/>
              <w:rPr>
                <w:sz w:val="22"/>
              </w:rPr>
            </w:pPr>
            <w:r>
              <w:rPr>
                <w:sz w:val="22"/>
              </w:rPr>
              <w:t>132,000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Summer (May – September)</w:t>
            </w:r>
          </w:p>
        </w:tc>
        <w:tc>
          <w:tcPr>
            <w:tcW w:w="3192" w:type="dxa"/>
            <w:tcBorders/>
          </w:tcPr>
          <w:p>
            <w:pPr>
              <w:pStyle w:val="Normal"/>
              <w:tabs>
                <w:tab w:val="clear" w:pos="720"/>
                <w:tab w:val="left" w:pos="360" w:leader="none"/>
              </w:tabs>
              <w:jc w:val="both"/>
              <w:rPr>
                <w:sz w:val="22"/>
              </w:rPr>
            </w:pPr>
            <w:r>
              <w:rPr>
                <w:sz w:val="22"/>
              </w:rPr>
              <w:t>226,000 MMBtu/day</w:t>
            </w:r>
          </w:p>
        </w:tc>
      </w:tr>
    </w:tbl>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sz w:val="22"/>
        </w:rPr>
      </w:pPr>
      <w:r>
        <w:rPr>
          <w:b/>
          <w:sz w:val="22"/>
        </w:rPr>
        <w:t>Additional Volumes:</w:t>
      </w:r>
    </w:p>
    <w:p>
      <w:pPr>
        <w:pStyle w:val="Normal"/>
        <w:tabs>
          <w:tab w:val="clear" w:pos="720"/>
          <w:tab w:val="left" w:pos="360" w:leader="none"/>
        </w:tabs>
        <w:jc w:val="both"/>
        <w:rPr>
          <w:b/>
          <w:sz w:val="22"/>
        </w:rPr>
      </w:pPr>
      <w:r>
        <w:rPr>
          <w:b/>
          <w:sz w:val="22"/>
        </w:rPr>
      </w:r>
    </w:p>
    <w:p>
      <w:pPr>
        <w:pStyle w:val="Normal"/>
        <w:tabs>
          <w:tab w:val="clear" w:pos="720"/>
          <w:tab w:val="left" w:pos="360" w:leader="none"/>
        </w:tabs>
        <w:jc w:val="both"/>
        <w:rPr>
          <w:b/>
          <w:i/>
          <w:i/>
          <w:sz w:val="22"/>
          <w:u w:val="single"/>
        </w:rPr>
      </w:pPr>
      <w:r>
        <w:rPr>
          <w:b/>
          <w:i/>
          <w:sz w:val="22"/>
          <w:u w:val="single"/>
        </w:rPr>
        <w:t>July 1, 1999 – June 30, 2001 (2 years)</w:t>
        <w:tab/>
        <w:tab/>
        <w:tab/>
        <w:tab/>
        <w:t>Additional 100,000 MMBtu/day</w:t>
      </w:r>
    </w:p>
    <w:p>
      <w:pPr>
        <w:pStyle w:val="Normal"/>
        <w:tabs>
          <w:tab w:val="clear" w:pos="720"/>
          <w:tab w:val="left" w:pos="360" w:leader="none"/>
        </w:tabs>
        <w:jc w:val="both"/>
        <w:rPr>
          <w:b/>
          <w:i/>
          <w:i/>
          <w:sz w:val="22"/>
          <w:u w:val="single"/>
        </w:rPr>
      </w:pPr>
      <w:r>
        <w:rPr>
          <w:b/>
          <w:i/>
          <w:sz w:val="22"/>
          <w:u w:val="single"/>
        </w:rPr>
      </w:r>
    </w:p>
    <w:tbl>
      <w:tblPr>
        <w:tblW w:w="7104" w:type="dxa"/>
        <w:jc w:val="start"/>
        <w:tblInd w:w="0" w:type="dxa"/>
        <w:tblLayout w:type="fixed"/>
        <w:tblCellMar>
          <w:top w:w="0" w:type="dxa"/>
          <w:start w:w="108" w:type="dxa"/>
          <w:bottom w:w="0" w:type="dxa"/>
          <w:end w:w="108" w:type="dxa"/>
        </w:tblCellMar>
      </w:tblPr>
      <w:tblGrid>
        <w:gridCol w:w="720"/>
        <w:gridCol w:w="3192"/>
        <w:gridCol w:w="3192"/>
      </w:tblGrid>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Winter (October – April)</w:t>
            </w:r>
          </w:p>
        </w:tc>
        <w:tc>
          <w:tcPr>
            <w:tcW w:w="3192" w:type="dxa"/>
            <w:tcBorders/>
          </w:tcPr>
          <w:p>
            <w:pPr>
              <w:pStyle w:val="Normal"/>
              <w:tabs>
                <w:tab w:val="clear" w:pos="720"/>
                <w:tab w:val="left" w:pos="360" w:leader="none"/>
              </w:tabs>
              <w:jc w:val="both"/>
              <w:rPr>
                <w:sz w:val="22"/>
              </w:rPr>
            </w:pPr>
            <w:r>
              <w:rPr>
                <w:sz w:val="22"/>
              </w:rPr>
              <w:t>232,000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Summer (May – September)</w:t>
            </w:r>
          </w:p>
        </w:tc>
        <w:tc>
          <w:tcPr>
            <w:tcW w:w="3192" w:type="dxa"/>
            <w:tcBorders/>
          </w:tcPr>
          <w:p>
            <w:pPr>
              <w:pStyle w:val="Normal"/>
              <w:tabs>
                <w:tab w:val="clear" w:pos="720"/>
                <w:tab w:val="left" w:pos="360" w:leader="none"/>
              </w:tabs>
              <w:jc w:val="both"/>
              <w:rPr>
                <w:sz w:val="22"/>
              </w:rPr>
            </w:pPr>
            <w:r>
              <w:rPr>
                <w:sz w:val="22"/>
              </w:rPr>
              <w:t>326,000 MMBtu/day</w:t>
            </w:r>
          </w:p>
        </w:tc>
      </w:tr>
    </w:tbl>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i/>
          <w:i/>
          <w:sz w:val="22"/>
          <w:u w:val="single"/>
        </w:rPr>
      </w:pPr>
      <w:r>
        <w:rPr>
          <w:b/>
          <w:i/>
          <w:sz w:val="22"/>
          <w:u w:val="single"/>
        </w:rPr>
        <w:t>July 1, 2001 – June 30, 2003 (2 years)</w:t>
        <w:tab/>
        <w:tab/>
        <w:tab/>
        <w:tab/>
        <w:t>Additional 150,000 MMBtu/day</w:t>
      </w:r>
    </w:p>
    <w:p>
      <w:pPr>
        <w:pStyle w:val="Normal"/>
        <w:tabs>
          <w:tab w:val="clear" w:pos="720"/>
          <w:tab w:val="left" w:pos="360" w:leader="none"/>
        </w:tabs>
        <w:jc w:val="both"/>
        <w:rPr>
          <w:b/>
          <w:i/>
          <w:i/>
          <w:sz w:val="22"/>
          <w:u w:val="single"/>
        </w:rPr>
      </w:pPr>
      <w:r>
        <w:rPr>
          <w:b/>
          <w:i/>
          <w:sz w:val="22"/>
          <w:u w:val="single"/>
        </w:rPr>
      </w:r>
    </w:p>
    <w:tbl>
      <w:tblPr>
        <w:tblW w:w="7104" w:type="dxa"/>
        <w:jc w:val="start"/>
        <w:tblInd w:w="0" w:type="dxa"/>
        <w:tblLayout w:type="fixed"/>
        <w:tblCellMar>
          <w:top w:w="0" w:type="dxa"/>
          <w:start w:w="108" w:type="dxa"/>
          <w:bottom w:w="0" w:type="dxa"/>
          <w:end w:w="108" w:type="dxa"/>
        </w:tblCellMar>
      </w:tblPr>
      <w:tblGrid>
        <w:gridCol w:w="720"/>
        <w:gridCol w:w="3192"/>
        <w:gridCol w:w="3192"/>
      </w:tblGrid>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Winter (October – April)</w:t>
            </w:r>
          </w:p>
        </w:tc>
        <w:tc>
          <w:tcPr>
            <w:tcW w:w="3192" w:type="dxa"/>
            <w:tcBorders/>
          </w:tcPr>
          <w:p>
            <w:pPr>
              <w:pStyle w:val="Normal"/>
              <w:tabs>
                <w:tab w:val="clear" w:pos="720"/>
                <w:tab w:val="left" w:pos="360" w:leader="none"/>
              </w:tabs>
              <w:jc w:val="both"/>
              <w:rPr>
                <w:sz w:val="22"/>
              </w:rPr>
            </w:pPr>
            <w:r>
              <w:rPr>
                <w:sz w:val="22"/>
              </w:rPr>
              <w:t>282,000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Summer (May – September)</w:t>
            </w:r>
          </w:p>
        </w:tc>
        <w:tc>
          <w:tcPr>
            <w:tcW w:w="3192" w:type="dxa"/>
            <w:tcBorders/>
          </w:tcPr>
          <w:p>
            <w:pPr>
              <w:pStyle w:val="Normal"/>
              <w:tabs>
                <w:tab w:val="clear" w:pos="720"/>
                <w:tab w:val="left" w:pos="360" w:leader="none"/>
              </w:tabs>
              <w:jc w:val="both"/>
              <w:rPr>
                <w:sz w:val="22"/>
              </w:rPr>
            </w:pPr>
            <w:r>
              <w:rPr>
                <w:sz w:val="22"/>
              </w:rPr>
              <w:t>376,000 MMBtu/day</w:t>
            </w:r>
          </w:p>
        </w:tc>
      </w:tr>
    </w:tbl>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i/>
          <w:i/>
          <w:sz w:val="22"/>
          <w:u w:val="single"/>
        </w:rPr>
      </w:pPr>
      <w:r>
        <w:rPr>
          <w:b/>
          <w:i/>
          <w:sz w:val="22"/>
          <w:u w:val="single"/>
        </w:rPr>
        <w:t>July 1, 2003 – Feb. 28, 2010*</w:t>
        <w:tab/>
        <w:tab/>
        <w:tab/>
        <w:tab/>
        <w:tab/>
        <w:t>Additional 200,000 MMBtu/day</w:t>
      </w:r>
    </w:p>
    <w:p>
      <w:pPr>
        <w:pStyle w:val="Normal"/>
        <w:tabs>
          <w:tab w:val="clear" w:pos="720"/>
          <w:tab w:val="left" w:pos="360" w:leader="none"/>
        </w:tabs>
        <w:jc w:val="both"/>
        <w:rPr>
          <w:b/>
          <w:i/>
          <w:i/>
          <w:sz w:val="22"/>
          <w:u w:val="single"/>
        </w:rPr>
      </w:pPr>
      <w:r>
        <w:rPr>
          <w:b/>
          <w:i/>
          <w:sz w:val="22"/>
          <w:u w:val="single"/>
        </w:rPr>
      </w:r>
    </w:p>
    <w:tbl>
      <w:tblPr>
        <w:tblW w:w="7104" w:type="dxa"/>
        <w:jc w:val="start"/>
        <w:tblInd w:w="0" w:type="dxa"/>
        <w:tblLayout w:type="fixed"/>
        <w:tblCellMar>
          <w:top w:w="0" w:type="dxa"/>
          <w:start w:w="108" w:type="dxa"/>
          <w:bottom w:w="0" w:type="dxa"/>
          <w:end w:w="108" w:type="dxa"/>
        </w:tblCellMar>
      </w:tblPr>
      <w:tblGrid>
        <w:gridCol w:w="720"/>
        <w:gridCol w:w="3192"/>
        <w:gridCol w:w="3192"/>
      </w:tblGrid>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Winter (October – April)</w:t>
            </w:r>
          </w:p>
        </w:tc>
        <w:tc>
          <w:tcPr>
            <w:tcW w:w="3192" w:type="dxa"/>
            <w:tcBorders/>
          </w:tcPr>
          <w:p>
            <w:pPr>
              <w:pStyle w:val="Normal"/>
              <w:tabs>
                <w:tab w:val="clear" w:pos="720"/>
                <w:tab w:val="left" w:pos="360" w:leader="none"/>
              </w:tabs>
              <w:jc w:val="both"/>
              <w:rPr>
                <w:sz w:val="22"/>
              </w:rPr>
            </w:pPr>
            <w:r>
              <w:rPr>
                <w:sz w:val="22"/>
              </w:rPr>
              <w:t>332,000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Summer (May – September)</w:t>
            </w:r>
          </w:p>
        </w:tc>
        <w:tc>
          <w:tcPr>
            <w:tcW w:w="3192" w:type="dxa"/>
            <w:tcBorders/>
          </w:tcPr>
          <w:p>
            <w:pPr>
              <w:pStyle w:val="Normal"/>
              <w:tabs>
                <w:tab w:val="clear" w:pos="720"/>
                <w:tab w:val="left" w:pos="360" w:leader="none"/>
              </w:tabs>
              <w:jc w:val="both"/>
              <w:rPr>
                <w:sz w:val="22"/>
              </w:rPr>
            </w:pPr>
            <w:r>
              <w:rPr>
                <w:sz w:val="22"/>
              </w:rPr>
              <w:t>426,000 MMBtu/day</w:t>
            </w:r>
          </w:p>
        </w:tc>
      </w:tr>
    </w:tbl>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 Assumes an extra 26,000 MMBtu/day post-2005</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sz w:val="22"/>
        </w:rPr>
      </w:pPr>
      <w:r>
        <w:rPr>
          <w:b/>
          <w:sz w:val="22"/>
        </w:rPr>
        <w:t>Extension Period:</w:t>
      </w:r>
    </w:p>
    <w:p>
      <w:pPr>
        <w:pStyle w:val="Normal"/>
        <w:tabs>
          <w:tab w:val="clear" w:pos="720"/>
          <w:tab w:val="left" w:pos="360" w:leader="none"/>
        </w:tabs>
        <w:jc w:val="both"/>
        <w:rPr>
          <w:b/>
          <w:sz w:val="22"/>
        </w:rPr>
      </w:pPr>
      <w:r>
        <w:rPr>
          <w:b/>
          <w:sz w:val="22"/>
        </w:rPr>
      </w:r>
    </w:p>
    <w:p>
      <w:pPr>
        <w:pStyle w:val="BodyText2"/>
        <w:rPr/>
      </w:pPr>
      <w:r>
        <w:rPr/>
        <w:t>ECT shall have the one time right to extend the term of this agreement and supply the volumes listed above by giving notice to FP&amp;L by December 31, 2009.  The term of the extension shall be March 1, 2010 through February 28, 2013.</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sz w:val="22"/>
        </w:rPr>
      </w:pPr>
      <w:r>
        <w:rPr>
          <w:b/>
          <w:sz w:val="22"/>
        </w:rPr>
        <w:t>Daily Additional Volumes:</w:t>
      </w:r>
    </w:p>
    <w:p>
      <w:pPr>
        <w:pStyle w:val="Normal"/>
        <w:tabs>
          <w:tab w:val="clear" w:pos="720"/>
          <w:tab w:val="left" w:pos="360" w:leader="none"/>
        </w:tabs>
        <w:jc w:val="both"/>
        <w:rPr>
          <w:b/>
          <w:sz w:val="22"/>
        </w:rPr>
      </w:pPr>
      <w:r>
        <w:rPr>
          <w:b/>
          <w:sz w:val="22"/>
        </w:rPr>
      </w:r>
    </w:p>
    <w:p>
      <w:pPr>
        <w:pStyle w:val="Normal"/>
        <w:tabs>
          <w:tab w:val="clear" w:pos="720"/>
          <w:tab w:val="left" w:pos="360" w:leader="none"/>
        </w:tabs>
        <w:jc w:val="both"/>
        <w:rPr>
          <w:sz w:val="22"/>
        </w:rPr>
      </w:pPr>
      <w:r>
        <w:rPr>
          <w:sz w:val="22"/>
        </w:rPr>
        <w:t xml:space="preserve">In addition to the DCQ listed above, ECT shall have the right, but not the obligation, to serve the incremental daily volumes listed below. </w:t>
      </w:r>
    </w:p>
    <w:p>
      <w:pPr>
        <w:pStyle w:val="Normal"/>
        <w:tabs>
          <w:tab w:val="clear" w:pos="720"/>
          <w:tab w:val="left" w:pos="360" w:leader="none"/>
        </w:tabs>
        <w:jc w:val="both"/>
        <w:rPr>
          <w:sz w:val="22"/>
        </w:rPr>
      </w:pPr>
      <w:r>
        <w:rPr>
          <w:sz w:val="22"/>
        </w:rPr>
      </w:r>
    </w:p>
    <w:tbl>
      <w:tblPr>
        <w:tblW w:w="8388" w:type="dxa"/>
        <w:jc w:val="start"/>
        <w:tblInd w:w="0" w:type="dxa"/>
        <w:tblLayout w:type="fixed"/>
        <w:tblCellMar>
          <w:top w:w="0" w:type="dxa"/>
          <w:start w:w="108" w:type="dxa"/>
          <w:bottom w:w="0" w:type="dxa"/>
          <w:end w:w="108" w:type="dxa"/>
        </w:tblCellMar>
      </w:tblPr>
      <w:tblGrid>
        <w:gridCol w:w="720"/>
        <w:gridCol w:w="2880"/>
        <w:gridCol w:w="2394"/>
        <w:gridCol w:w="2394"/>
      </w:tblGrid>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pBdr>
                <w:bottom w:val="single" w:sz="4" w:space="1" w:color="000000"/>
              </w:pBdr>
              <w:tabs>
                <w:tab w:val="clear" w:pos="720"/>
                <w:tab w:val="left" w:pos="360" w:leader="none"/>
              </w:tabs>
              <w:jc w:val="center"/>
              <w:rPr>
                <w:b/>
                <w:sz w:val="22"/>
              </w:rPr>
            </w:pPr>
            <w:r>
              <w:rPr>
                <w:b/>
                <w:sz w:val="22"/>
              </w:rPr>
              <w:t>Term</w:t>
            </w:r>
          </w:p>
        </w:tc>
        <w:tc>
          <w:tcPr>
            <w:tcW w:w="4788" w:type="dxa"/>
            <w:gridSpan w:val="2"/>
            <w:tcBorders/>
          </w:tcPr>
          <w:p>
            <w:pPr>
              <w:pStyle w:val="Normal"/>
              <w:pBdr>
                <w:bottom w:val="single" w:sz="4" w:space="1" w:color="000000"/>
              </w:pBdr>
              <w:tabs>
                <w:tab w:val="clear" w:pos="720"/>
                <w:tab w:val="left" w:pos="360" w:leader="none"/>
              </w:tabs>
              <w:jc w:val="center"/>
              <w:rPr>
                <w:b/>
                <w:sz w:val="22"/>
              </w:rPr>
            </w:pPr>
            <w:r>
              <w:rPr>
                <w:b/>
                <w:sz w:val="22"/>
              </w:rPr>
              <w:t>Incremental Volumes</w:t>
            </w:r>
          </w:p>
        </w:tc>
      </w:tr>
      <w:tr>
        <w:trPr/>
        <w:tc>
          <w:tcPr>
            <w:tcW w:w="720" w:type="dxa"/>
            <w:tcBorders/>
          </w:tcPr>
          <w:p>
            <w:pPr>
              <w:pStyle w:val="Normal"/>
              <w:tabs>
                <w:tab w:val="clear" w:pos="720"/>
                <w:tab w:val="left" w:pos="360" w:leader="none"/>
              </w:tabs>
              <w:snapToGrid w:val="false"/>
              <w:jc w:val="both"/>
              <w:rPr>
                <w:b/>
                <w:sz w:val="22"/>
              </w:rPr>
            </w:pPr>
            <w:r>
              <w:rPr>
                <w:b/>
                <w:sz w:val="22"/>
              </w:rPr>
            </w:r>
          </w:p>
        </w:tc>
        <w:tc>
          <w:tcPr>
            <w:tcW w:w="2880" w:type="dxa"/>
            <w:tcBorders/>
          </w:tcPr>
          <w:p>
            <w:pPr>
              <w:pStyle w:val="Normal"/>
              <w:tabs>
                <w:tab w:val="clear" w:pos="720"/>
                <w:tab w:val="left" w:pos="360" w:leader="none"/>
              </w:tabs>
              <w:jc w:val="both"/>
              <w:rPr>
                <w:sz w:val="22"/>
              </w:rPr>
            </w:pPr>
            <w:r>
              <w:rPr>
                <w:sz w:val="22"/>
              </w:rPr>
              <w:t>July 1, 1999 – June 30, 2001</w:t>
            </w:r>
          </w:p>
        </w:tc>
        <w:tc>
          <w:tcPr>
            <w:tcW w:w="2394" w:type="dxa"/>
            <w:tcBorders/>
          </w:tcPr>
          <w:p>
            <w:pPr>
              <w:pStyle w:val="Normal"/>
              <w:tabs>
                <w:tab w:val="clear" w:pos="720"/>
                <w:tab w:val="left" w:pos="360" w:leader="none"/>
              </w:tabs>
              <w:jc w:val="both"/>
              <w:rPr>
                <w:sz w:val="22"/>
              </w:rPr>
            </w:pPr>
            <w:r>
              <w:rPr>
                <w:sz w:val="22"/>
              </w:rPr>
              <w:t>Winter (Oct. – April)</w:t>
            </w:r>
          </w:p>
        </w:tc>
        <w:tc>
          <w:tcPr>
            <w:tcW w:w="2394" w:type="dxa"/>
            <w:tcBorders/>
          </w:tcPr>
          <w:p>
            <w:pPr>
              <w:pStyle w:val="Normal"/>
              <w:tabs>
                <w:tab w:val="clear" w:pos="720"/>
                <w:tab w:val="left" w:pos="360" w:leader="none"/>
              </w:tabs>
              <w:jc w:val="both"/>
              <w:rPr>
                <w:sz w:val="22"/>
              </w:rPr>
            </w:pPr>
            <w:r>
              <w:rPr>
                <w:sz w:val="22"/>
              </w:rPr>
              <w:t>20,000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jc w:val="both"/>
              <w:rPr>
                <w:sz w:val="22"/>
              </w:rPr>
            </w:pPr>
            <w:r>
              <w:rPr>
                <w:sz w:val="22"/>
              </w:rPr>
              <w:t>Summer (May – Sept.)</w:t>
            </w:r>
          </w:p>
        </w:tc>
        <w:tc>
          <w:tcPr>
            <w:tcW w:w="2394" w:type="dxa"/>
            <w:tcBorders/>
          </w:tcPr>
          <w:p>
            <w:pPr>
              <w:pStyle w:val="Normal"/>
              <w:tabs>
                <w:tab w:val="clear" w:pos="720"/>
                <w:tab w:val="left" w:pos="360" w:leader="none"/>
              </w:tabs>
              <w:jc w:val="both"/>
              <w:rPr>
                <w:sz w:val="22"/>
              </w:rPr>
            </w:pPr>
            <w:r>
              <w:rPr>
                <w:sz w:val="22"/>
              </w:rPr>
              <w:t>40,000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snapToGrid w:val="false"/>
              <w:jc w:val="both"/>
              <w:rPr>
                <w:sz w:val="22"/>
              </w:rPr>
            </w:pPr>
            <w:r>
              <w:rPr>
                <w:sz w:val="22"/>
              </w:rPr>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jc w:val="both"/>
              <w:rPr>
                <w:sz w:val="22"/>
              </w:rPr>
            </w:pPr>
            <w:r>
              <w:rPr>
                <w:sz w:val="22"/>
              </w:rPr>
              <w:t>July 1, 2001 – June 30, 2003</w:t>
            </w:r>
          </w:p>
        </w:tc>
        <w:tc>
          <w:tcPr>
            <w:tcW w:w="2394" w:type="dxa"/>
            <w:tcBorders/>
          </w:tcPr>
          <w:p>
            <w:pPr>
              <w:pStyle w:val="Normal"/>
              <w:tabs>
                <w:tab w:val="clear" w:pos="720"/>
                <w:tab w:val="left" w:pos="360" w:leader="none"/>
              </w:tabs>
              <w:jc w:val="both"/>
              <w:rPr>
                <w:sz w:val="22"/>
              </w:rPr>
            </w:pPr>
            <w:r>
              <w:rPr>
                <w:sz w:val="22"/>
              </w:rPr>
              <w:t>Winter (Oct. – April)</w:t>
            </w:r>
          </w:p>
        </w:tc>
        <w:tc>
          <w:tcPr>
            <w:tcW w:w="2394" w:type="dxa"/>
            <w:tcBorders/>
          </w:tcPr>
          <w:p>
            <w:pPr>
              <w:pStyle w:val="Normal"/>
              <w:tabs>
                <w:tab w:val="clear" w:pos="720"/>
                <w:tab w:val="left" w:pos="360" w:leader="none"/>
              </w:tabs>
              <w:jc w:val="both"/>
              <w:rPr>
                <w:sz w:val="22"/>
              </w:rPr>
            </w:pPr>
            <w:r>
              <w:rPr>
                <w:sz w:val="22"/>
              </w:rPr>
              <w:t>20,000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jc w:val="both"/>
              <w:rPr>
                <w:sz w:val="22"/>
              </w:rPr>
            </w:pPr>
            <w:r>
              <w:rPr>
                <w:sz w:val="22"/>
              </w:rPr>
              <w:t>Summer (May – Sept.)</w:t>
            </w:r>
          </w:p>
        </w:tc>
        <w:tc>
          <w:tcPr>
            <w:tcW w:w="2394" w:type="dxa"/>
            <w:tcBorders/>
          </w:tcPr>
          <w:p>
            <w:pPr>
              <w:pStyle w:val="Normal"/>
              <w:tabs>
                <w:tab w:val="clear" w:pos="720"/>
                <w:tab w:val="left" w:pos="360" w:leader="none"/>
              </w:tabs>
              <w:jc w:val="both"/>
              <w:rPr>
                <w:sz w:val="22"/>
              </w:rPr>
            </w:pPr>
            <w:r>
              <w:rPr>
                <w:sz w:val="22"/>
              </w:rPr>
              <w:t>60,000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snapToGrid w:val="false"/>
              <w:jc w:val="both"/>
              <w:rPr>
                <w:sz w:val="22"/>
              </w:rPr>
            </w:pPr>
            <w:r>
              <w:rPr>
                <w:sz w:val="22"/>
              </w:rPr>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jc w:val="both"/>
              <w:rPr>
                <w:sz w:val="22"/>
              </w:rPr>
            </w:pPr>
            <w:r>
              <w:rPr>
                <w:sz w:val="22"/>
              </w:rPr>
              <w:t>July 1, 2003 – Feb. 28, 2010</w:t>
            </w:r>
          </w:p>
        </w:tc>
        <w:tc>
          <w:tcPr>
            <w:tcW w:w="2394" w:type="dxa"/>
            <w:tcBorders/>
          </w:tcPr>
          <w:p>
            <w:pPr>
              <w:pStyle w:val="Normal"/>
              <w:tabs>
                <w:tab w:val="clear" w:pos="720"/>
                <w:tab w:val="left" w:pos="360" w:leader="none"/>
              </w:tabs>
              <w:jc w:val="both"/>
              <w:rPr>
                <w:sz w:val="22"/>
              </w:rPr>
            </w:pPr>
            <w:r>
              <w:rPr>
                <w:sz w:val="22"/>
              </w:rPr>
              <w:t>Winter (Oct. – April)</w:t>
            </w:r>
          </w:p>
        </w:tc>
        <w:tc>
          <w:tcPr>
            <w:tcW w:w="2394" w:type="dxa"/>
            <w:tcBorders/>
          </w:tcPr>
          <w:p>
            <w:pPr>
              <w:pStyle w:val="Normal"/>
              <w:tabs>
                <w:tab w:val="clear" w:pos="720"/>
                <w:tab w:val="left" w:pos="360" w:leader="none"/>
              </w:tabs>
              <w:jc w:val="both"/>
              <w:rPr>
                <w:sz w:val="22"/>
              </w:rPr>
            </w:pPr>
            <w:r>
              <w:rPr>
                <w:sz w:val="22"/>
              </w:rPr>
              <w:t>20,000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jc w:val="both"/>
              <w:rPr>
                <w:sz w:val="22"/>
              </w:rPr>
            </w:pPr>
            <w:r>
              <w:rPr>
                <w:sz w:val="22"/>
              </w:rPr>
              <w:t>Summer (May – Sept.)</w:t>
            </w:r>
          </w:p>
        </w:tc>
        <w:tc>
          <w:tcPr>
            <w:tcW w:w="2394" w:type="dxa"/>
            <w:tcBorders/>
          </w:tcPr>
          <w:p>
            <w:pPr>
              <w:pStyle w:val="Normal"/>
              <w:tabs>
                <w:tab w:val="clear" w:pos="720"/>
                <w:tab w:val="left" w:pos="360" w:leader="none"/>
              </w:tabs>
              <w:jc w:val="both"/>
              <w:rPr>
                <w:sz w:val="22"/>
              </w:rPr>
            </w:pPr>
            <w:r>
              <w:rPr>
                <w:sz w:val="22"/>
              </w:rPr>
              <w:t>80,000 MMBtu/day</w:t>
            </w:r>
          </w:p>
        </w:tc>
      </w:tr>
    </w:tbl>
    <w:p>
      <w:pPr>
        <w:pStyle w:val="Heading6"/>
        <w:ind w:hanging="0" w:start="0"/>
        <w:jc w:val="start"/>
        <w:rPr>
          <w:b w:val="false"/>
          <w:sz w:val="22"/>
        </w:rPr>
      </w:pPr>
      <w:r>
        <w:rPr>
          <w:b w:val="false"/>
          <w:sz w:val="22"/>
        </w:rPr>
      </w:r>
    </w:p>
    <w:p>
      <w:pPr>
        <w:pStyle w:val="Normal"/>
        <w:jc w:val="both"/>
        <w:rPr>
          <w:b/>
          <w:sz w:val="22"/>
        </w:rPr>
      </w:pPr>
      <w:r>
        <w:rPr>
          <w:b/>
          <w:sz w:val="22"/>
        </w:rPr>
        <w:t>Daily Additional Volumes – Extension Period:</w:t>
      </w:r>
    </w:p>
    <w:p>
      <w:pPr>
        <w:pStyle w:val="Normal"/>
        <w:rPr>
          <w:b/>
          <w:sz w:val="22"/>
        </w:rPr>
      </w:pPr>
      <w:r>
        <w:rPr>
          <w:b/>
          <w:sz w:val="22"/>
        </w:rPr>
      </w:r>
    </w:p>
    <w:p>
      <w:pPr>
        <w:pStyle w:val="BodyText2"/>
        <w:rPr/>
      </w:pPr>
      <w:r>
        <w:rPr/>
        <w:t>ECT shall have the one time right to extend the final term of this agreement and supply the volumes listed above by giving notice to FP&amp;L by December 31, 2009.  The term of the extension shall be March 1, 2010 through February 28, 2013.</w:t>
      </w:r>
    </w:p>
    <w:p>
      <w:pPr>
        <w:pStyle w:val="Normal"/>
        <w:rPr/>
      </w:pPr>
      <w:r>
        <w:rPr/>
      </w:r>
    </w:p>
    <w:p>
      <w:pPr>
        <w:pStyle w:val="Heading6"/>
        <w:ind w:hanging="0" w:start="0"/>
        <w:rPr/>
      </w:pPr>
      <w:r>
        <w:rPr/>
      </w:r>
    </w:p>
    <w:p>
      <w:pPr>
        <w:pStyle w:val="Heading1"/>
        <w:ind w:hanging="0" w:start="0"/>
        <w:rPr>
          <w:caps w:val="false"/>
          <w:smallCaps w:val="false"/>
        </w:rPr>
      </w:pPr>
      <w:r>
        <w:rPr>
          <w:caps w:val="false"/>
          <w:smallCaps w:val="false"/>
        </w:rPr>
        <w:t>Price</w:t>
      </w:r>
    </w:p>
    <w:p>
      <w:pPr>
        <w:pStyle w:val="Normal"/>
        <w:jc w:val="both"/>
        <w:rPr>
          <w:smallCaps/>
          <w:sz w:val="22"/>
        </w:rPr>
      </w:pPr>
      <w:r>
        <w:rPr>
          <w:smallCaps/>
          <w:sz w:val="22"/>
        </w:rPr>
      </w:r>
    </w:p>
    <w:p>
      <w:pPr>
        <w:pStyle w:val="Normal"/>
        <w:jc w:val="both"/>
        <w:rPr/>
      </w:pPr>
      <w:r>
        <w:rPr>
          <w:sz w:val="22"/>
        </w:rPr>
        <w:t xml:space="preserve">Under the new agreement, FP&amp;L shall pay ECT a price each month consisting of the first of the month Index </w:t>
      </w:r>
      <w:r>
        <w:rPr>
          <w:i/>
          <w:sz w:val="22"/>
        </w:rPr>
        <w:t>minus $0.0025/mmBtu</w:t>
      </w:r>
      <w:r>
        <w:rPr>
          <w:sz w:val="22"/>
        </w:rPr>
        <w:t xml:space="preserve"> for FGT-Zone 2, as published in the first issue each month of </w:t>
      </w:r>
      <w:r>
        <w:rPr>
          <w:b/>
          <w:i/>
          <w:sz w:val="22"/>
        </w:rPr>
        <w:t>Inside FERC Gas Market Report</w:t>
      </w:r>
      <w:r>
        <w:rPr>
          <w:i/>
          <w:sz w:val="22"/>
        </w:rPr>
        <w:t xml:space="preserve"> </w:t>
      </w:r>
      <w:r>
        <w:rPr>
          <w:sz w:val="22"/>
        </w:rPr>
        <w:t xml:space="preserve">for </w:t>
      </w:r>
      <w:r>
        <w:rPr>
          <w:b/>
          <w:sz w:val="22"/>
          <w:u w:val="single"/>
        </w:rPr>
        <w:t>Citrus Trading II Baseload Quantities</w:t>
      </w:r>
      <w:r>
        <w:rPr>
          <w:sz w:val="22"/>
        </w:rPr>
        <w:t xml:space="preserve"> and Index </w:t>
      </w:r>
      <w:r>
        <w:rPr>
          <w:i/>
          <w:sz w:val="22"/>
        </w:rPr>
        <w:t>minus $0.0025/mmBtu</w:t>
      </w:r>
      <w:r>
        <w:rPr>
          <w:sz w:val="22"/>
        </w:rPr>
        <w:t xml:space="preserve"> for FGT-Zone 1, 2 or 3 for </w:t>
      </w:r>
      <w:r>
        <w:rPr>
          <w:b/>
          <w:sz w:val="22"/>
          <w:u w:val="single"/>
        </w:rPr>
        <w:t>Additional Volumes MMBtu/day</w:t>
      </w:r>
      <w:r>
        <w:rPr>
          <w:sz w:val="22"/>
        </w:rPr>
        <w:t xml:space="preserve"> weighted as follows: 9.7% FGT-Zone 1, 57.2% FGT-Zone 2, 33.1% FGT-Zone 3.  </w:t>
      </w:r>
      <w:r>
        <w:rPr>
          <w:b/>
          <w:sz w:val="22"/>
          <w:u w:val="single"/>
        </w:rPr>
        <w:t>Extension Period</w:t>
      </w:r>
      <w:r>
        <w:rPr>
          <w:sz w:val="22"/>
        </w:rPr>
        <w:t xml:space="preserve"> volumes shall be supplied at </w:t>
      </w:r>
      <w:r>
        <w:rPr>
          <w:b/>
          <w:i/>
          <w:sz w:val="22"/>
        </w:rPr>
        <w:t>Inside FERC Gas Market Report</w:t>
      </w:r>
      <w:r>
        <w:rPr>
          <w:sz w:val="22"/>
        </w:rPr>
        <w:t xml:space="preserve"> Index </w:t>
      </w:r>
      <w:r>
        <w:rPr>
          <w:i/>
          <w:sz w:val="22"/>
        </w:rPr>
        <w:t>flat</w:t>
      </w:r>
      <w:r>
        <w:rPr>
          <w:sz w:val="22"/>
        </w:rPr>
        <w:t xml:space="preserve"> for FGT-Zone 1, 2 or 3 as stated for  </w:t>
      </w:r>
      <w:r>
        <w:rPr>
          <w:b/>
          <w:sz w:val="22"/>
          <w:u w:val="single"/>
        </w:rPr>
        <w:t>Additional Volumes</w:t>
      </w:r>
      <w:r>
        <w:rPr>
          <w:sz w:val="22"/>
        </w:rPr>
        <w:t xml:space="preserve"> period.</w:t>
      </w:r>
    </w:p>
    <w:p>
      <w:pPr>
        <w:pStyle w:val="Normal"/>
        <w:jc w:val="both"/>
        <w:rPr>
          <w:sz w:val="22"/>
        </w:rPr>
      </w:pPr>
      <w:r>
        <w:rPr>
          <w:sz w:val="22"/>
        </w:rPr>
      </w:r>
    </w:p>
    <w:p>
      <w:pPr>
        <w:pStyle w:val="Normal"/>
        <w:jc w:val="both"/>
        <w:rPr/>
      </w:pPr>
      <w:r>
        <w:rPr>
          <w:sz w:val="22"/>
        </w:rPr>
        <w:t xml:space="preserve">For </w:t>
      </w:r>
      <w:r>
        <w:rPr>
          <w:b/>
          <w:sz w:val="22"/>
          <w:u w:val="single"/>
        </w:rPr>
        <w:t>Daily Additional Volumes</w:t>
      </w:r>
      <w:r>
        <w:rPr>
          <w:sz w:val="22"/>
        </w:rPr>
        <w:t xml:space="preserve">, FP&amp;L shall pay ECT first of the month Index price for FGT-Zone 2.  For </w:t>
      </w:r>
      <w:r>
        <w:rPr>
          <w:b/>
          <w:sz w:val="22"/>
          <w:u w:val="single"/>
        </w:rPr>
        <w:t>Daily Additional Volumes – Extension Period</w:t>
      </w:r>
      <w:r>
        <w:rPr>
          <w:sz w:val="22"/>
        </w:rPr>
        <w:t xml:space="preserve">, FP&amp;L shall pay ECT first of the month Index price for FGT-Zone 2 as delivered during the </w:t>
      </w:r>
      <w:r>
        <w:rPr>
          <w:b/>
          <w:sz w:val="22"/>
          <w:u w:val="single"/>
        </w:rPr>
        <w:t>Daily Additional Volumes</w:t>
      </w:r>
      <w:r>
        <w:rPr>
          <w:sz w:val="22"/>
        </w:rPr>
        <w:t xml:space="preserve"> period.</w:t>
      </w:r>
    </w:p>
    <w:p>
      <w:pPr>
        <w:pStyle w:val="Normal"/>
        <w:jc w:val="both"/>
        <w:rPr>
          <w:sz w:val="22"/>
        </w:rPr>
      </w:pPr>
      <w:r>
        <w:rPr>
          <w:sz w:val="22"/>
        </w:rPr>
      </w:r>
    </w:p>
    <w:p>
      <w:pPr>
        <w:pStyle w:val="Normal"/>
        <w:jc w:val="both"/>
        <w:rPr/>
      </w:pPr>
      <w:r>
        <w:rPr>
          <w:sz w:val="22"/>
        </w:rPr>
        <w:t xml:space="preserve">For 75,000 MMBtu/day of Mobile Bay gas, FP&amp;L shall pay first of the month Index </w:t>
      </w:r>
      <w:r>
        <w:rPr>
          <w:i/>
          <w:sz w:val="22"/>
        </w:rPr>
        <w:t>flat</w:t>
      </w:r>
      <w:r>
        <w:rPr>
          <w:sz w:val="22"/>
        </w:rPr>
        <w:t xml:space="preserve"> for FGT-Zone 2 for the term beginning July 1, 1999 through February 28, 2010.</w:t>
      </w:r>
    </w:p>
    <w:p>
      <w:pPr>
        <w:pStyle w:val="Normal"/>
        <w:jc w:val="both"/>
        <w:rPr>
          <w:sz w:val="22"/>
        </w:rPr>
      </w:pPr>
      <w:r>
        <w:rPr>
          <w:sz w:val="22"/>
        </w:rPr>
      </w:r>
    </w:p>
    <w:p>
      <w:pPr>
        <w:pStyle w:val="Heading1"/>
        <w:ind w:hanging="0" w:start="0"/>
        <w:rPr>
          <w:caps w:val="false"/>
          <w:smallCaps w:val="false"/>
        </w:rPr>
      </w:pPr>
      <w:r>
        <w:rPr>
          <w:caps w:val="false"/>
          <w:smallCaps w:val="false"/>
        </w:rPr>
        <w:t>Flexible Pricing</w:t>
      </w:r>
    </w:p>
    <w:p>
      <w:pPr>
        <w:pStyle w:val="Normal"/>
        <w:jc w:val="both"/>
        <w:rPr>
          <w:smallCaps/>
          <w:sz w:val="22"/>
        </w:rPr>
      </w:pPr>
      <w:r>
        <w:rPr>
          <w:smallCaps/>
          <w:sz w:val="22"/>
        </w:rPr>
      </w:r>
    </w:p>
    <w:p>
      <w:pPr>
        <w:pStyle w:val="Normal"/>
        <w:jc w:val="both"/>
        <w:rPr/>
      </w:pPr>
      <w:r>
        <w:rPr>
          <w:sz w:val="22"/>
        </w:rPr>
        <w:t xml:space="preserve">FP&amp;L and ECT will specifically define within the Agreement a list of alternative Commodity Charge pricing mechanisms including, but not limited to, the first of the month index as published in </w:t>
      </w:r>
      <w:r>
        <w:rPr>
          <w:b/>
          <w:i/>
          <w:sz w:val="22"/>
        </w:rPr>
        <w:t>Inside FERC Gas Market Report</w:t>
      </w:r>
      <w:r>
        <w:rPr>
          <w:sz w:val="22"/>
        </w:rPr>
        <w:t xml:space="preserve">, a </w:t>
      </w:r>
      <w:r>
        <w:rPr>
          <w:b/>
          <w:i/>
          <w:sz w:val="22"/>
        </w:rPr>
        <w:t xml:space="preserve">Gas Daily </w:t>
      </w:r>
      <w:r>
        <w:rPr>
          <w:sz w:val="22"/>
        </w:rPr>
        <w:t>index price, basis pricing, and/or NYMEX trigger pricing.  FP&amp;L will have the option to change the Commodity Charge to one of the pre-defined pricing structures, or other pricing structures that are mutually agreed upon, applicable for a particular quantity and month(s) up to 1:00 p.m. Central Time on the fourth day prior to the NYMEX expiration for the flowing month.</w:t>
      </w:r>
    </w:p>
    <w:p>
      <w:pPr>
        <w:pStyle w:val="Normal"/>
        <w:jc w:val="both"/>
        <w:rPr>
          <w:b/>
          <w:smallCaps/>
          <w:sz w:val="22"/>
        </w:rPr>
      </w:pPr>
      <w:r>
        <w:rPr>
          <w:b/>
          <w:smallCaps/>
          <w:sz w:val="22"/>
        </w:rPr>
      </w:r>
    </w:p>
    <w:p>
      <w:pPr>
        <w:pStyle w:val="Normal"/>
        <w:jc w:val="center"/>
        <w:rPr>
          <w:b/>
          <w:sz w:val="22"/>
        </w:rPr>
      </w:pPr>
      <w:r>
        <w:rPr>
          <w:b/>
          <w:sz w:val="22"/>
        </w:rPr>
        <w:t>Delivery Point(s)</w:t>
      </w:r>
    </w:p>
    <w:p>
      <w:pPr>
        <w:pStyle w:val="Normal"/>
        <w:jc w:val="both"/>
        <w:rPr>
          <w:b/>
          <w:sz w:val="22"/>
        </w:rPr>
      </w:pPr>
      <w:r>
        <w:rPr>
          <w:b/>
          <w:sz w:val="22"/>
        </w:rPr>
      </w:r>
    </w:p>
    <w:p>
      <w:pPr>
        <w:pStyle w:val="BodyText2"/>
        <w:rPr/>
      </w:pPr>
      <w:r>
        <w:rPr/>
        <w:t xml:space="preserve">There shall be multiple delivery points into Florida Gas Transmission (“FGT”) based upon receipt points in FP&amp;L’s FGT FT Agreements.  Such receipt points may be changed from time to time at either Party’s request and with the mutual agreement of both Parties. </w:t>
      </w:r>
    </w:p>
    <w:p>
      <w:pPr>
        <w:pStyle w:val="BodyText2"/>
        <w:rPr/>
      </w:pPr>
      <w:r>
        <w:rPr/>
      </w:r>
    </w:p>
    <w:p>
      <w:pPr>
        <w:pStyle w:val="Heading1"/>
        <w:tabs>
          <w:tab w:val="clear" w:pos="720"/>
          <w:tab w:val="left" w:pos="360" w:leader="none"/>
        </w:tabs>
        <w:ind w:hanging="0" w:start="0"/>
        <w:rPr>
          <w:caps w:val="false"/>
          <w:smallCaps w:val="false"/>
        </w:rPr>
      </w:pPr>
      <w:r>
        <w:rPr>
          <w:caps w:val="false"/>
          <w:smallCaps w:val="false"/>
        </w:rPr>
        <w:t>Gas Supply Recall</w:t>
      </w:r>
    </w:p>
    <w:p>
      <w:pPr>
        <w:pStyle w:val="Normal"/>
        <w:tabs>
          <w:tab w:val="clear" w:pos="720"/>
          <w:tab w:val="left" w:pos="360" w:leader="none"/>
        </w:tabs>
        <w:jc w:val="both"/>
        <w:rPr>
          <w:b/>
          <w:smallCaps/>
          <w:sz w:val="22"/>
        </w:rPr>
      </w:pPr>
      <w:r>
        <w:rPr>
          <w:b/>
          <w:smallCaps/>
          <w:sz w:val="22"/>
        </w:rPr>
      </w:r>
    </w:p>
    <w:p>
      <w:pPr>
        <w:pStyle w:val="BodyText2"/>
        <w:rPr/>
      </w:pPr>
      <w:r>
        <w:rPr/>
        <w:t xml:space="preserve">On any day during the Winter season (October through April), ECT may recall up to the following amount of DCQ. ECT shall provide notice to FP&amp;L of volumes to be recalled by 11:00 am CPT on the day prior to FGT day-ahead nomination deadline.  FP&amp;L shall have the right to financially settle this gas supply recall for system reliability conditions but FP&amp;L shall instead pay </w:t>
      </w:r>
      <w:r>
        <w:rPr>
          <w:b/>
          <w:i/>
        </w:rPr>
        <w:t xml:space="preserve">Gas Daily </w:t>
      </w:r>
      <w:r>
        <w:rPr/>
        <w:t>Absolute High for the amount of gas recalled.</w:t>
      </w:r>
    </w:p>
    <w:p>
      <w:pPr>
        <w:pStyle w:val="BodyText2"/>
        <w:rPr/>
      </w:pPr>
      <w:r>
        <w:rPr/>
      </w:r>
    </w:p>
    <w:tbl>
      <w:tblPr>
        <w:tblW w:w="8388" w:type="dxa"/>
        <w:jc w:val="start"/>
        <w:tblInd w:w="0" w:type="dxa"/>
        <w:tblLayout w:type="fixed"/>
        <w:tblCellMar>
          <w:top w:w="0" w:type="dxa"/>
          <w:start w:w="108" w:type="dxa"/>
          <w:bottom w:w="0" w:type="dxa"/>
          <w:end w:w="108" w:type="dxa"/>
        </w:tblCellMar>
      </w:tblPr>
      <w:tblGrid>
        <w:gridCol w:w="720"/>
        <w:gridCol w:w="2880"/>
        <w:gridCol w:w="2394"/>
        <w:gridCol w:w="2394"/>
      </w:tblGrid>
      <w:tr>
        <w:trPr/>
        <w:tc>
          <w:tcPr>
            <w:tcW w:w="720" w:type="dxa"/>
            <w:tcBorders/>
          </w:tcPr>
          <w:p>
            <w:pPr>
              <w:pStyle w:val="BodyText2"/>
              <w:snapToGrid w:val="false"/>
              <w:jc w:val="center"/>
              <w:rPr/>
            </w:pPr>
            <w:r>
              <w:rPr/>
            </w:r>
          </w:p>
        </w:tc>
        <w:tc>
          <w:tcPr>
            <w:tcW w:w="2880" w:type="dxa"/>
            <w:tcBorders/>
          </w:tcPr>
          <w:p>
            <w:pPr>
              <w:pStyle w:val="BodyText2"/>
              <w:pBdr>
                <w:bottom w:val="single" w:sz="4" w:space="1" w:color="000000"/>
              </w:pBdr>
              <w:jc w:val="center"/>
              <w:rPr>
                <w:b/>
              </w:rPr>
            </w:pPr>
            <w:r>
              <w:rPr>
                <w:b/>
              </w:rPr>
              <w:t>Term</w:t>
            </w:r>
          </w:p>
        </w:tc>
        <w:tc>
          <w:tcPr>
            <w:tcW w:w="4788" w:type="dxa"/>
            <w:gridSpan w:val="2"/>
            <w:tcBorders/>
          </w:tcPr>
          <w:p>
            <w:pPr>
              <w:pStyle w:val="BodyText2"/>
              <w:pBdr>
                <w:bottom w:val="single" w:sz="4" w:space="1" w:color="000000"/>
              </w:pBdr>
              <w:jc w:val="center"/>
              <w:rPr>
                <w:b/>
              </w:rPr>
            </w:pPr>
            <w:r>
              <w:rPr>
                <w:b/>
              </w:rPr>
              <w:t>Recall Volumes</w:t>
            </w:r>
          </w:p>
        </w:tc>
      </w:tr>
      <w:tr>
        <w:trPr/>
        <w:tc>
          <w:tcPr>
            <w:tcW w:w="720" w:type="dxa"/>
            <w:tcBorders/>
          </w:tcPr>
          <w:p>
            <w:pPr>
              <w:pStyle w:val="BodyText2"/>
              <w:snapToGrid w:val="false"/>
              <w:rPr>
                <w:b/>
              </w:rPr>
            </w:pPr>
            <w:r>
              <w:rPr>
                <w:b/>
              </w:rPr>
            </w:r>
          </w:p>
        </w:tc>
        <w:tc>
          <w:tcPr>
            <w:tcW w:w="2880" w:type="dxa"/>
            <w:tcBorders/>
          </w:tcPr>
          <w:p>
            <w:pPr>
              <w:pStyle w:val="Normal"/>
              <w:tabs>
                <w:tab w:val="clear" w:pos="720"/>
                <w:tab w:val="left" w:pos="360" w:leader="none"/>
              </w:tabs>
              <w:jc w:val="both"/>
              <w:rPr>
                <w:sz w:val="22"/>
              </w:rPr>
            </w:pPr>
            <w:r>
              <w:rPr>
                <w:sz w:val="22"/>
              </w:rPr>
              <w:t>July 1, 1999 – June 30, 2001</w:t>
            </w:r>
          </w:p>
        </w:tc>
        <w:tc>
          <w:tcPr>
            <w:tcW w:w="2394" w:type="dxa"/>
            <w:tcBorders/>
          </w:tcPr>
          <w:p>
            <w:pPr>
              <w:pStyle w:val="Normal"/>
              <w:tabs>
                <w:tab w:val="clear" w:pos="720"/>
                <w:tab w:val="left" w:pos="360" w:leader="none"/>
              </w:tabs>
              <w:jc w:val="both"/>
              <w:rPr>
                <w:sz w:val="22"/>
              </w:rPr>
            </w:pPr>
            <w:r>
              <w:rPr>
                <w:sz w:val="22"/>
              </w:rPr>
              <w:t>Winter (Oct. – April)</w:t>
            </w:r>
          </w:p>
        </w:tc>
        <w:tc>
          <w:tcPr>
            <w:tcW w:w="2394" w:type="dxa"/>
            <w:tcBorders/>
          </w:tcPr>
          <w:p>
            <w:pPr>
              <w:pStyle w:val="BodyText2"/>
              <w:rPr/>
            </w:pPr>
            <w:r>
              <w:rPr/>
              <w:t>50,000 MMBtu/day</w:t>
            </w:r>
          </w:p>
        </w:tc>
      </w:tr>
      <w:tr>
        <w:trPr/>
        <w:tc>
          <w:tcPr>
            <w:tcW w:w="720" w:type="dxa"/>
            <w:tcBorders/>
          </w:tcPr>
          <w:p>
            <w:pPr>
              <w:pStyle w:val="BodyText2"/>
              <w:snapToGrid w:val="false"/>
              <w:rPr/>
            </w:pPr>
            <w:r>
              <w:rPr/>
            </w:r>
          </w:p>
        </w:tc>
        <w:tc>
          <w:tcPr>
            <w:tcW w:w="2880" w:type="dxa"/>
            <w:tcBorders/>
          </w:tcPr>
          <w:p>
            <w:pPr>
              <w:pStyle w:val="Normal"/>
              <w:tabs>
                <w:tab w:val="clear" w:pos="720"/>
                <w:tab w:val="left" w:pos="360" w:leader="none"/>
              </w:tabs>
              <w:jc w:val="both"/>
              <w:rPr>
                <w:sz w:val="22"/>
              </w:rPr>
            </w:pPr>
            <w:r>
              <w:rPr>
                <w:sz w:val="22"/>
              </w:rPr>
              <w:t>July 1, 2001 – June 30, 2003</w:t>
            </w:r>
          </w:p>
        </w:tc>
        <w:tc>
          <w:tcPr>
            <w:tcW w:w="2394" w:type="dxa"/>
            <w:tcBorders/>
          </w:tcPr>
          <w:p>
            <w:pPr>
              <w:pStyle w:val="Normal"/>
              <w:tabs>
                <w:tab w:val="clear" w:pos="720"/>
                <w:tab w:val="left" w:pos="360" w:leader="none"/>
              </w:tabs>
              <w:jc w:val="both"/>
              <w:rPr>
                <w:sz w:val="22"/>
              </w:rPr>
            </w:pPr>
            <w:r>
              <w:rPr>
                <w:sz w:val="22"/>
              </w:rPr>
              <w:t>Winter (Oct. – April)</w:t>
            </w:r>
          </w:p>
        </w:tc>
        <w:tc>
          <w:tcPr>
            <w:tcW w:w="2394" w:type="dxa"/>
            <w:tcBorders/>
          </w:tcPr>
          <w:p>
            <w:pPr>
              <w:pStyle w:val="BodyText2"/>
              <w:rPr/>
            </w:pPr>
            <w:r>
              <w:rPr/>
              <w:t>50,000 MMBtu/day</w:t>
            </w:r>
          </w:p>
        </w:tc>
      </w:tr>
      <w:tr>
        <w:trPr/>
        <w:tc>
          <w:tcPr>
            <w:tcW w:w="720" w:type="dxa"/>
            <w:tcBorders/>
          </w:tcPr>
          <w:p>
            <w:pPr>
              <w:pStyle w:val="BodyText2"/>
              <w:snapToGrid w:val="false"/>
              <w:rPr/>
            </w:pPr>
            <w:r>
              <w:rPr/>
            </w:r>
          </w:p>
        </w:tc>
        <w:tc>
          <w:tcPr>
            <w:tcW w:w="2880" w:type="dxa"/>
            <w:tcBorders/>
          </w:tcPr>
          <w:p>
            <w:pPr>
              <w:pStyle w:val="Normal"/>
              <w:tabs>
                <w:tab w:val="clear" w:pos="720"/>
                <w:tab w:val="left" w:pos="360" w:leader="none"/>
              </w:tabs>
              <w:jc w:val="both"/>
              <w:rPr>
                <w:sz w:val="22"/>
              </w:rPr>
            </w:pPr>
            <w:r>
              <w:rPr>
                <w:sz w:val="22"/>
              </w:rPr>
              <w:t>July 1, 2003 – Feb. 28, 2010</w:t>
            </w:r>
          </w:p>
        </w:tc>
        <w:tc>
          <w:tcPr>
            <w:tcW w:w="2394" w:type="dxa"/>
            <w:tcBorders/>
          </w:tcPr>
          <w:p>
            <w:pPr>
              <w:pStyle w:val="Normal"/>
              <w:tabs>
                <w:tab w:val="clear" w:pos="720"/>
                <w:tab w:val="left" w:pos="360" w:leader="none"/>
              </w:tabs>
              <w:jc w:val="both"/>
              <w:rPr>
                <w:sz w:val="22"/>
              </w:rPr>
            </w:pPr>
            <w:r>
              <w:rPr>
                <w:sz w:val="22"/>
              </w:rPr>
              <w:t>Winter (Oct. – April)</w:t>
            </w:r>
          </w:p>
        </w:tc>
        <w:tc>
          <w:tcPr>
            <w:tcW w:w="2394" w:type="dxa"/>
            <w:tcBorders/>
          </w:tcPr>
          <w:p>
            <w:pPr>
              <w:pStyle w:val="BodyText2"/>
              <w:rPr/>
            </w:pPr>
            <w:r>
              <w:rPr/>
              <w:t>50,000 MMBtu/day</w:t>
            </w:r>
          </w:p>
        </w:tc>
      </w:tr>
    </w:tbl>
    <w:p>
      <w:pPr>
        <w:pStyle w:val="BodyText2"/>
        <w:rPr/>
      </w:pPr>
      <w:r>
        <w:rPr/>
      </w:r>
    </w:p>
    <w:p>
      <w:pPr>
        <w:pStyle w:val="Normal"/>
        <w:tabs>
          <w:tab w:val="clear" w:pos="720"/>
          <w:tab w:val="left" w:pos="360" w:leader="none"/>
        </w:tabs>
        <w:jc w:val="both"/>
        <w:rPr>
          <w:sz w:val="22"/>
        </w:rPr>
      </w:pPr>
      <w:r>
        <w:rPr>
          <w:sz w:val="22"/>
        </w:rPr>
        <w:t>ECT shall have the one time right to extend the term of the gas recall at the final term volumes for an additional three years (through February 28, 2013) by notifying FP&amp;L before December 31, 2009.</w:t>
      </w:r>
    </w:p>
    <w:p>
      <w:pPr>
        <w:pStyle w:val="Normal"/>
        <w:tabs>
          <w:tab w:val="clear" w:pos="720"/>
          <w:tab w:val="left" w:pos="360" w:leader="none"/>
        </w:tabs>
        <w:jc w:val="both"/>
        <w:rPr>
          <w:sz w:val="22"/>
        </w:rPr>
      </w:pPr>
      <w:r>
        <w:rPr>
          <w:sz w:val="22"/>
        </w:rPr>
      </w:r>
    </w:p>
    <w:p>
      <w:pPr>
        <w:pStyle w:val="Heading1"/>
        <w:tabs>
          <w:tab w:val="clear" w:pos="720"/>
          <w:tab w:val="left" w:pos="2610" w:leader="none"/>
        </w:tabs>
        <w:ind w:hanging="0" w:start="0"/>
        <w:rPr>
          <w:caps w:val="false"/>
          <w:smallCaps w:val="false"/>
        </w:rPr>
      </w:pPr>
      <w:r>
        <w:rPr>
          <w:caps w:val="false"/>
          <w:smallCaps w:val="false"/>
        </w:rPr>
        <w:t>Nominations and Scheduling</w:t>
      </w:r>
    </w:p>
    <w:p>
      <w:pPr>
        <w:pStyle w:val="Normal"/>
        <w:ind w:hanging="1440" w:end="0"/>
        <w:jc w:val="center"/>
        <w:rPr>
          <w:b/>
          <w:smallCaps/>
          <w:sz w:val="22"/>
        </w:rPr>
      </w:pPr>
      <w:r>
        <w:rPr>
          <w:b/>
          <w:smallCaps/>
          <w:sz w:val="22"/>
        </w:rPr>
      </w:r>
    </w:p>
    <w:p>
      <w:pPr>
        <w:pStyle w:val="Normal"/>
        <w:ind w:hanging="1440" w:end="0"/>
        <w:jc w:val="both"/>
        <w:rPr>
          <w:sz w:val="22"/>
        </w:rPr>
      </w:pPr>
      <w:r>
        <w:rPr>
          <w:sz w:val="22"/>
        </w:rPr>
        <w:tab/>
        <w:t xml:space="preserve">FP&amp;L will be responsible for requesting its daily gas supply requirements in a timely manner from ECT.  ECT will continue to be responsible for all nominations and scheduling of gas supply for the existing Citrus Trading II under the existing terms and FP&amp;L shall be responsible for nominating and scheduling additional volumes. FP&amp;L and ECT will adhere to GISB standards on nominating, scheduling, etc. FP&amp;L and ECT shall develop notification, coordination and scheduling practices.  </w:t>
      </w:r>
    </w:p>
    <w:p>
      <w:pPr>
        <w:pStyle w:val="Normal"/>
        <w:rPr>
          <w:sz w:val="22"/>
        </w:rPr>
      </w:pPr>
      <w:r>
        <w:rPr>
          <w:sz w:val="22"/>
        </w:rPr>
      </w:r>
    </w:p>
    <w:p>
      <w:pPr>
        <w:pStyle w:val="Normal"/>
        <w:rPr/>
      </w:pPr>
      <w:r>
        <w:rPr/>
      </w:r>
    </w:p>
    <w:p>
      <w:pPr>
        <w:pStyle w:val="Heading1"/>
        <w:tabs>
          <w:tab w:val="clear" w:pos="720"/>
          <w:tab w:val="left" w:pos="360" w:leader="none"/>
        </w:tabs>
        <w:ind w:hanging="0" w:start="0"/>
        <w:rPr>
          <w:caps w:val="false"/>
          <w:smallCaps w:val="false"/>
        </w:rPr>
      </w:pPr>
      <w:r>
        <w:rPr>
          <w:caps w:val="false"/>
          <w:smallCaps w:val="false"/>
        </w:rPr>
        <w:t>Take and Delivery Obligations</w:t>
      </w:r>
    </w:p>
    <w:p>
      <w:pPr>
        <w:pStyle w:val="Normal"/>
        <w:tabs>
          <w:tab w:val="clear" w:pos="720"/>
          <w:tab w:val="left" w:pos="360" w:leader="none"/>
        </w:tabs>
        <w:ind w:hanging="1440" w:start="1440" w:end="0"/>
        <w:jc w:val="both"/>
        <w:rPr>
          <w:b/>
          <w:smallCaps/>
          <w:sz w:val="22"/>
        </w:rPr>
      </w:pPr>
      <w:r>
        <w:rPr>
          <w:b/>
          <w:smallCaps/>
          <w:sz w:val="22"/>
        </w:rPr>
      </w:r>
    </w:p>
    <w:p>
      <w:pPr>
        <w:pStyle w:val="Normal"/>
        <w:jc w:val="both"/>
        <w:rPr>
          <w:sz w:val="22"/>
        </w:rPr>
      </w:pPr>
      <w:r>
        <w:rPr>
          <w:sz w:val="22"/>
        </w:rPr>
        <w:t>FP&amp;L shall purchase and take 100% of the gas that it requests. ECT shall schedule 100% of the gas requested by FP&amp;L.</w:t>
      </w:r>
    </w:p>
    <w:p>
      <w:pPr>
        <w:pStyle w:val="Heading1"/>
        <w:ind w:hanging="0" w:start="0"/>
        <w:rPr>
          <w:caps w:val="false"/>
          <w:smallCaps w:val="false"/>
        </w:rPr>
      </w:pPr>
      <w:r>
        <w:rPr>
          <w:caps w:val="false"/>
          <w:smallCaps w:val="false"/>
        </w:rPr>
        <w:t>Citrus Trading Contract Assignment</w:t>
      </w:r>
    </w:p>
    <w:p>
      <w:pPr>
        <w:pStyle w:val="Heading1"/>
        <w:ind w:hanging="0" w:start="0"/>
        <w:rPr>
          <w:caps w:val="false"/>
          <w:smallCaps w:val="false"/>
        </w:rPr>
      </w:pPr>
      <w:r>
        <w:rPr>
          <w:caps w:val="false"/>
          <w:smallCaps w:val="false"/>
        </w:rPr>
      </w:r>
    </w:p>
    <w:p>
      <w:pPr>
        <w:pStyle w:val="BodyText2"/>
        <w:tabs>
          <w:tab w:val="clear" w:pos="360"/>
        </w:tabs>
        <w:rPr/>
      </w:pPr>
      <w:r>
        <w:rPr/>
        <w:t>Simultaneously with the execution of this new gas supply agreement, FP&amp;L shall assign to ECT the existing FP&amp;L/Citrus Trading II Agreement, as amended, including all rights and obligations therein, and shall pay ECT the sum of $26.826 million.</w:t>
      </w:r>
    </w:p>
    <w:p>
      <w:pPr>
        <w:pStyle w:val="Normal"/>
        <w:rPr>
          <w:sz w:val="22"/>
        </w:rPr>
      </w:pPr>
      <w:r>
        <w:rPr>
          <w:sz w:val="22"/>
        </w:rPr>
      </w:r>
    </w:p>
    <w:p>
      <w:pPr>
        <w:pStyle w:val="Heading1"/>
        <w:ind w:hanging="0" w:start="0"/>
        <w:rPr>
          <w:caps w:val="false"/>
          <w:smallCaps w:val="false"/>
        </w:rPr>
      </w:pPr>
      <w:r>
        <w:rPr>
          <w:caps w:val="false"/>
          <w:smallCaps w:val="false"/>
        </w:rPr>
        <w:t>Napoleonville Storage</w:t>
      </w:r>
    </w:p>
    <w:p>
      <w:pPr>
        <w:pStyle w:val="Normal"/>
        <w:rPr>
          <w:smallCaps/>
          <w:sz w:val="22"/>
        </w:rPr>
      </w:pPr>
      <w:r>
        <w:rPr>
          <w:smallCaps/>
          <w:sz w:val="22"/>
        </w:rPr>
      </w:r>
    </w:p>
    <w:p>
      <w:pPr>
        <w:pStyle w:val="BodyText2"/>
        <w:tabs>
          <w:tab w:val="clear" w:pos="360"/>
        </w:tabs>
        <w:rPr/>
      </w:pPr>
      <w:r>
        <w:rPr/>
        <w:t xml:space="preserve">FP&amp;L shall receive 250,000 MMBtu of Napoleonville salt dome storage upon its expansion and tying into FGT.  FP&amp;L may inject or withdraw at the newly-formed FGT point.  The injection rate will be 12,500 MMBtu/ day (20 days) and the withdrawal rate will be 25,000 MMBtu/day (10 days).  FP&amp;L will be charged $0.0115/MMBtu for injection and withdrawal quantities as well as 1.03% fuel for injections.  The term of this storage agreement will commence when Napoleonville is tied to FGT and will end February 28, 2010. </w:t>
      </w:r>
    </w:p>
    <w:p>
      <w:pPr>
        <w:pStyle w:val="Normal"/>
        <w:rPr>
          <w:sz w:val="22"/>
        </w:rPr>
      </w:pPr>
      <w:r>
        <w:rPr>
          <w:sz w:val="22"/>
        </w:rPr>
      </w:r>
    </w:p>
    <w:p>
      <w:pPr>
        <w:pStyle w:val="Heading1"/>
        <w:ind w:hanging="0" w:start="0"/>
        <w:rPr>
          <w:caps w:val="false"/>
          <w:smallCaps w:val="false"/>
        </w:rPr>
      </w:pPr>
      <w:r>
        <w:rPr>
          <w:caps w:val="false"/>
          <w:smallCaps w:val="false"/>
        </w:rPr>
        <w:t>Liquidated Damages</w:t>
      </w:r>
    </w:p>
    <w:p>
      <w:pPr>
        <w:pStyle w:val="Normal"/>
        <w:ind w:hanging="1440" w:end="0"/>
        <w:jc w:val="both"/>
        <w:rPr>
          <w:b/>
          <w:smallCaps/>
          <w:sz w:val="22"/>
        </w:rPr>
      </w:pPr>
      <w:r>
        <w:rPr>
          <w:b/>
          <w:smallCaps/>
          <w:sz w:val="22"/>
        </w:rPr>
      </w:r>
    </w:p>
    <w:p>
      <w:pPr>
        <w:pStyle w:val="Normal"/>
        <w:jc w:val="both"/>
        <w:rPr/>
      </w:pPr>
      <w:r>
        <w:rPr>
          <w:sz w:val="22"/>
        </w:rPr>
        <w:t xml:space="preserve">In the event of ECT’s unexcused failure to schedule and deliver gas to FGT as requested by FP&amp;L on any given day, ECT shall pay liquidated damages calculated daily equal to the difference, if positive, between (a) the contract price, and (b) the </w:t>
      </w:r>
      <w:r>
        <w:rPr>
          <w:b/>
          <w:i/>
          <w:sz w:val="22"/>
        </w:rPr>
        <w:t>Gas Daily</w:t>
      </w:r>
      <w:r>
        <w:rPr>
          <w:sz w:val="22"/>
        </w:rPr>
        <w:t xml:space="preserve">, midpoint posting for deliveries in the applicable location, plus applicable penalties and/or balancing requirements on FGT.  </w:t>
      </w:r>
    </w:p>
    <w:p>
      <w:pPr>
        <w:pStyle w:val="Normal"/>
        <w:jc w:val="both"/>
        <w:rPr>
          <w:sz w:val="22"/>
        </w:rPr>
      </w:pPr>
      <w:r>
        <w:rPr>
          <w:sz w:val="22"/>
        </w:rPr>
      </w:r>
    </w:p>
    <w:p>
      <w:pPr>
        <w:pStyle w:val="Normal"/>
        <w:jc w:val="both"/>
        <w:rPr/>
      </w:pPr>
      <w:r>
        <w:rPr>
          <w:sz w:val="22"/>
        </w:rPr>
        <w:t xml:space="preserve">In the event that FP&amp;L fails to take its obligation on any given day, FP&amp;L shall pay liquidated damages calculated daily equal to the difference, if positive, between (a) the contract price, and (b) the </w:t>
      </w:r>
      <w:r>
        <w:rPr>
          <w:b/>
          <w:i/>
          <w:sz w:val="22"/>
        </w:rPr>
        <w:t>Gas Daily</w:t>
      </w:r>
      <w:r>
        <w:rPr>
          <w:sz w:val="22"/>
        </w:rPr>
        <w:t xml:space="preserve">, midpoint posting for deliveries in the applicable location, plus applicable penalties and/or balancing requirements on FGT.  </w:t>
      </w:r>
    </w:p>
    <w:p>
      <w:pPr>
        <w:pStyle w:val="Normal"/>
        <w:jc w:val="both"/>
        <w:rPr>
          <w:sz w:val="22"/>
        </w:rPr>
      </w:pPr>
      <w:r>
        <w:rPr>
          <w:sz w:val="22"/>
        </w:rPr>
      </w:r>
    </w:p>
    <w:p>
      <w:pPr>
        <w:pStyle w:val="Normal"/>
        <w:jc w:val="both"/>
        <w:rPr>
          <w:sz w:val="22"/>
        </w:rPr>
      </w:pPr>
      <w:r>
        <w:rPr>
          <w:sz w:val="22"/>
        </w:rPr>
        <w:t>Reasonable efforts shall be exercised by ECT and FP&amp;L for mitigation of replacement costs and associated factors.  Both parties shall use reasonable efforts to inform the other of its intent not to schedule or take quantities of gas prior to taking such actions if it is practicable.</w:t>
      </w:r>
    </w:p>
    <w:p>
      <w:pPr>
        <w:pStyle w:val="Normal"/>
        <w:jc w:val="both"/>
        <w:rPr>
          <w:sz w:val="22"/>
        </w:rPr>
      </w:pPr>
      <w:r>
        <w:rPr>
          <w:sz w:val="22"/>
        </w:rPr>
      </w:r>
    </w:p>
    <w:p>
      <w:pPr>
        <w:pStyle w:val="Heading1"/>
        <w:ind w:hanging="0" w:start="0"/>
        <w:rPr>
          <w:caps w:val="false"/>
          <w:smallCaps w:val="false"/>
        </w:rPr>
      </w:pPr>
      <w:r>
        <w:rPr>
          <w:caps w:val="false"/>
          <w:smallCaps w:val="false"/>
        </w:rPr>
        <w:t>Payment Terms</w:t>
      </w:r>
    </w:p>
    <w:p>
      <w:pPr>
        <w:pStyle w:val="Normal"/>
        <w:rPr>
          <w:smallCaps/>
        </w:rPr>
      </w:pPr>
      <w:r>
        <w:rPr>
          <w:smallCaps/>
        </w:rPr>
      </w:r>
    </w:p>
    <w:p>
      <w:pPr>
        <w:pStyle w:val="Normal"/>
        <w:jc w:val="both"/>
        <w:rPr/>
      </w:pPr>
      <w:r>
        <w:rPr>
          <w:sz w:val="22"/>
        </w:rPr>
        <w:t>FP&amp;L shall pay ECT for Baseload and Additional volumes by the 15</w:t>
      </w:r>
      <w:r>
        <w:rPr>
          <w:sz w:val="22"/>
          <w:vertAlign w:val="superscript"/>
        </w:rPr>
        <w:t>th</w:t>
      </w:r>
      <w:r>
        <w:rPr>
          <w:sz w:val="22"/>
        </w:rPr>
        <w:t xml:space="preserve"> of the month which volumes are to be consumed.  ECT shall bill FP&amp;L for daily volumes at the beginning of the following month after supply is made and typical payment terms will apply.</w:t>
      </w:r>
      <w:r>
        <w:rPr>
          <w:b/>
          <w:smallCaps/>
          <w:sz w:val="22"/>
        </w:rPr>
        <w:t xml:space="preserve">  </w:t>
      </w:r>
    </w:p>
    <w:p>
      <w:pPr>
        <w:pStyle w:val="Normal"/>
        <w:rPr>
          <w:b/>
          <w:smallCaps/>
          <w:sz w:val="22"/>
        </w:rPr>
      </w:pPr>
      <w:r>
        <w:rPr>
          <w:b/>
          <w:smallCaps/>
          <w:sz w:val="22"/>
        </w:rPr>
      </w:r>
    </w:p>
    <w:p>
      <w:pPr>
        <w:pStyle w:val="Heading1"/>
        <w:ind w:hanging="0" w:start="0"/>
        <w:rPr>
          <w:caps w:val="false"/>
          <w:smallCaps w:val="false"/>
        </w:rPr>
      </w:pPr>
      <w:r>
        <w:rPr>
          <w:caps w:val="false"/>
          <w:smallCaps w:val="false"/>
        </w:rPr>
        <w:t>Confidentiality</w:t>
      </w:r>
    </w:p>
    <w:p>
      <w:pPr>
        <w:pStyle w:val="Normal"/>
        <w:jc w:val="center"/>
        <w:rPr>
          <w:b/>
          <w:smallCaps/>
          <w:sz w:val="22"/>
        </w:rPr>
      </w:pPr>
      <w:r>
        <w:rPr>
          <w:b/>
          <w:smallCaps/>
          <w:sz w:val="22"/>
        </w:rPr>
      </w:r>
    </w:p>
    <w:p>
      <w:pPr>
        <w:pStyle w:val="BodyText2"/>
        <w:tabs>
          <w:tab w:val="clear" w:pos="360"/>
        </w:tabs>
        <w:rPr/>
      </w:pPr>
      <w:r>
        <w:rPr/>
        <w:t>All terms and conditions of this proposal are confidential between FP&amp;L, ECT, and Citrus, and their duly appointed agents.</w:t>
      </w:r>
    </w:p>
    <w:p>
      <w:pPr>
        <w:pStyle w:val="Normal"/>
        <w:jc w:val="both"/>
        <w:rPr>
          <w:i/>
          <w:i/>
          <w:sz w:val="22"/>
        </w:rPr>
      </w:pPr>
      <w:r>
        <w:rPr>
          <w:i/>
          <w:sz w:val="22"/>
        </w:rPr>
      </w:r>
    </w:p>
    <w:p>
      <w:pPr>
        <w:pStyle w:val="BodyText"/>
        <w:rPr>
          <w:sz w:val="22"/>
        </w:rPr>
      </w:pPr>
      <w:r>
        <w:rPr>
          <w:sz w:val="22"/>
        </w:rPr>
        <w:t>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Boards of Directors of both the Seller and Buyer, and execution of definitive agreements containing all appropriate provisions, including those related to credit and limitation of damages and remedies. In addition, the assignment described herein is subject to the approval of the Citrus Corp. Board of Directors.</w:t>
      </w:r>
      <w:r>
        <w:br w:type="page"/>
      </w:r>
    </w:p>
    <w:p>
      <w:pPr>
        <w:pStyle w:val="BodyText"/>
        <w:rPr/>
      </w:pPr>
      <w:r>
        <w:rPr/>
      </w:r>
    </w:p>
    <w:p>
      <w:pPr>
        <w:pStyle w:val="BodyText"/>
        <w:jc w:val="center"/>
        <w:rPr>
          <w:b/>
          <w:i w:val="false"/>
          <w:i w:val="false"/>
          <w:sz w:val="22"/>
          <w:u w:val="single"/>
        </w:rPr>
      </w:pPr>
      <w:r>
        <w:rPr>
          <w:b/>
          <w:i w:val="false"/>
          <w:sz w:val="22"/>
          <w:u w:val="single"/>
        </w:rPr>
        <w:t>Exhibit “A”</w:t>
      </w:r>
    </w:p>
    <w:p>
      <w:pPr>
        <w:pStyle w:val="BodyText"/>
        <w:jc w:val="center"/>
        <w:rPr>
          <w:b/>
          <w:i w:val="false"/>
          <w:i w:val="false"/>
          <w:sz w:val="22"/>
        </w:rPr>
      </w:pPr>
      <w:r>
        <w:rPr>
          <w:b/>
          <w:i w:val="false"/>
          <w:sz w:val="22"/>
        </w:rPr>
        <w:t>Breakdown of Quantities by Zone</w:t>
      </w:r>
    </w:p>
    <w:p>
      <w:pPr>
        <w:pStyle w:val="BodyText"/>
        <w:jc w:val="center"/>
        <w:rPr>
          <w:b/>
          <w:i w:val="false"/>
          <w:i w:val="false"/>
          <w:sz w:val="22"/>
        </w:rPr>
      </w:pPr>
      <w:r>
        <w:rPr>
          <w:b/>
          <w:i w:val="false"/>
          <w:sz w:val="22"/>
        </w:rPr>
        <w:t>Proposal to FP&amp;L by ECT dated May 18, 1999</w:t>
      </w:r>
    </w:p>
    <w:p>
      <w:pPr>
        <w:pStyle w:val="BodyText"/>
        <w:jc w:val="center"/>
        <w:rPr>
          <w:sz w:val="22"/>
        </w:rPr>
      </w:pPr>
      <w:r>
        <w:rPr>
          <w:sz w:val="22"/>
        </w:rPr>
        <w:t>(Specific Receipt Points in addition to Citrus Trading II Points to be  determined)</w:t>
      </w:r>
    </w:p>
    <w:p>
      <w:pPr>
        <w:pStyle w:val="BodyText"/>
        <w:jc w:val="center"/>
        <w:rPr>
          <w:sz w:val="22"/>
        </w:rPr>
      </w:pPr>
      <w:r>
        <w:rPr>
          <w:sz w:val="22"/>
        </w:rPr>
      </w:r>
    </w:p>
    <w:p>
      <w:pPr>
        <w:pStyle w:val="Normal"/>
        <w:tabs>
          <w:tab w:val="clear" w:pos="720"/>
          <w:tab w:val="left" w:pos="360" w:leader="none"/>
        </w:tabs>
        <w:jc w:val="both"/>
        <w:rPr>
          <w:b/>
          <w:i/>
          <w:i/>
          <w:sz w:val="22"/>
          <w:u w:val="single"/>
        </w:rPr>
      </w:pPr>
      <w:r>
        <w:rPr>
          <w:b/>
          <w:i/>
          <w:sz w:val="22"/>
          <w:u w:val="single"/>
        </w:rPr>
        <w:t>Period 1:  July 1, 1999 – June 30, 2001</w:t>
      </w:r>
    </w:p>
    <w:p>
      <w:pPr>
        <w:pStyle w:val="Normal"/>
        <w:tabs>
          <w:tab w:val="clear" w:pos="720"/>
          <w:tab w:val="left" w:pos="360" w:leader="none"/>
        </w:tabs>
        <w:jc w:val="both"/>
        <w:rPr>
          <w:b/>
          <w:i/>
          <w:i/>
          <w:sz w:val="22"/>
          <w:u w:val="single"/>
        </w:rPr>
      </w:pPr>
      <w:r>
        <w:rPr>
          <w:b/>
          <w:i/>
          <w:sz w:val="22"/>
          <w:u w:val="single"/>
        </w:rPr>
      </w:r>
    </w:p>
    <w:p>
      <w:pPr>
        <w:pStyle w:val="Normal"/>
        <w:tabs>
          <w:tab w:val="clear" w:pos="720"/>
          <w:tab w:val="left" w:pos="360" w:leader="none"/>
        </w:tabs>
        <w:jc w:val="both"/>
        <w:rPr>
          <w:sz w:val="22"/>
        </w:rPr>
      </w:pPr>
      <w:r>
        <w:rPr>
          <w:sz w:val="22"/>
        </w:rPr>
        <w:tab/>
        <w:tab/>
        <w:t>Winter(October – April)</w:t>
        <w:tab/>
        <w:tab/>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FGT Zone 1</w:t>
        <w:tab/>
        <w:tab/>
        <w:t>______</w:t>
      </w:r>
    </w:p>
    <w:p>
      <w:pPr>
        <w:pStyle w:val="Normal"/>
        <w:tabs>
          <w:tab w:val="clear" w:pos="720"/>
          <w:tab w:val="left" w:pos="360" w:leader="none"/>
        </w:tabs>
        <w:jc w:val="both"/>
        <w:rPr>
          <w:sz w:val="22"/>
        </w:rPr>
      </w:pPr>
      <w:r>
        <w:rPr>
          <w:sz w:val="22"/>
        </w:rPr>
        <w:t>FGT Zone 2</w:t>
        <w:tab/>
        <w:tab/>
        <w:t>______</w:t>
      </w:r>
    </w:p>
    <w:p>
      <w:pPr>
        <w:pStyle w:val="Normal"/>
        <w:tabs>
          <w:tab w:val="clear" w:pos="720"/>
          <w:tab w:val="left" w:pos="360" w:leader="none"/>
        </w:tabs>
        <w:jc w:val="both"/>
        <w:rPr>
          <w:sz w:val="22"/>
        </w:rPr>
      </w:pPr>
      <w:r>
        <w:rPr>
          <w:sz w:val="22"/>
        </w:rPr>
        <w:t>FGT Zone 3</w:t>
        <w:tab/>
        <w:tab/>
        <w:t>______</w:t>
      </w:r>
    </w:p>
    <w:p>
      <w:pPr>
        <w:pStyle w:val="Normal"/>
        <w:tabs>
          <w:tab w:val="clear" w:pos="720"/>
          <w:tab w:val="left" w:pos="360" w:leader="none"/>
        </w:tabs>
        <w:jc w:val="both"/>
        <w:rPr>
          <w:sz w:val="22"/>
        </w:rPr>
      </w:pPr>
      <w:r>
        <w:rPr>
          <w:sz w:val="22"/>
        </w:rPr>
        <w:t>Winter Total</w:t>
        <w:tab/>
        <w:tab/>
        <w:t>232,000 MMBtu/day</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ab/>
        <w:tab/>
        <w:t xml:space="preserve">Summer(May – September) </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FGT Zone 1</w:t>
        <w:tab/>
        <w:tab/>
        <w:t>______</w:t>
      </w:r>
    </w:p>
    <w:p>
      <w:pPr>
        <w:pStyle w:val="Normal"/>
        <w:tabs>
          <w:tab w:val="clear" w:pos="720"/>
          <w:tab w:val="left" w:pos="360" w:leader="none"/>
        </w:tabs>
        <w:jc w:val="both"/>
        <w:rPr>
          <w:sz w:val="22"/>
        </w:rPr>
      </w:pPr>
      <w:r>
        <w:rPr>
          <w:sz w:val="22"/>
        </w:rPr>
        <w:t>FGT Zone 2</w:t>
        <w:tab/>
        <w:tab/>
        <w:t>______</w:t>
      </w:r>
    </w:p>
    <w:p>
      <w:pPr>
        <w:pStyle w:val="Normal"/>
        <w:tabs>
          <w:tab w:val="clear" w:pos="720"/>
          <w:tab w:val="left" w:pos="360" w:leader="none"/>
        </w:tabs>
        <w:jc w:val="both"/>
        <w:rPr>
          <w:sz w:val="22"/>
        </w:rPr>
      </w:pPr>
      <w:r>
        <w:rPr>
          <w:sz w:val="22"/>
        </w:rPr>
        <w:t>FGT Zone 3</w:t>
        <w:tab/>
        <w:tab/>
        <w:t>______</w:t>
      </w:r>
    </w:p>
    <w:p>
      <w:pPr>
        <w:pStyle w:val="Normal"/>
        <w:tabs>
          <w:tab w:val="clear" w:pos="720"/>
          <w:tab w:val="left" w:pos="360" w:leader="none"/>
        </w:tabs>
        <w:jc w:val="both"/>
        <w:rPr>
          <w:sz w:val="22"/>
        </w:rPr>
      </w:pPr>
      <w:r>
        <w:rPr>
          <w:sz w:val="22"/>
        </w:rPr>
        <w:t>Summer Total</w:t>
        <w:tab/>
        <w:tab/>
        <w:t>326,000 MMBtu/day</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i/>
          <w:i/>
          <w:sz w:val="22"/>
          <w:u w:val="single"/>
        </w:rPr>
      </w:pPr>
      <w:r>
        <w:rPr>
          <w:b/>
          <w:i/>
          <w:sz w:val="22"/>
          <w:u w:val="single"/>
        </w:rPr>
        <w:t>Period 2:  July 1, 2001 – June 30, 2003</w:t>
      </w:r>
    </w:p>
    <w:p>
      <w:pPr>
        <w:pStyle w:val="Normal"/>
        <w:tabs>
          <w:tab w:val="clear" w:pos="720"/>
          <w:tab w:val="left" w:pos="360" w:leader="none"/>
        </w:tabs>
        <w:jc w:val="both"/>
        <w:rPr>
          <w:b/>
          <w:i/>
          <w:i/>
          <w:sz w:val="22"/>
          <w:u w:val="single"/>
        </w:rPr>
      </w:pPr>
      <w:r>
        <w:rPr>
          <w:b/>
          <w:i/>
          <w:sz w:val="22"/>
          <w:u w:val="single"/>
        </w:rPr>
      </w:r>
    </w:p>
    <w:p>
      <w:pPr>
        <w:pStyle w:val="Normal"/>
        <w:tabs>
          <w:tab w:val="clear" w:pos="720"/>
          <w:tab w:val="left" w:pos="360" w:leader="none"/>
        </w:tabs>
        <w:jc w:val="both"/>
        <w:rPr>
          <w:sz w:val="22"/>
        </w:rPr>
      </w:pPr>
      <w:r>
        <w:rPr>
          <w:sz w:val="22"/>
        </w:rPr>
        <w:tab/>
        <w:tab/>
        <w:t>Winter(October – April)</w:t>
        <w:tab/>
        <w:tab/>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FGT Zone 1</w:t>
        <w:tab/>
        <w:tab/>
        <w:t>______</w:t>
      </w:r>
    </w:p>
    <w:p>
      <w:pPr>
        <w:pStyle w:val="Normal"/>
        <w:tabs>
          <w:tab w:val="clear" w:pos="720"/>
          <w:tab w:val="left" w:pos="360" w:leader="none"/>
        </w:tabs>
        <w:jc w:val="both"/>
        <w:rPr>
          <w:sz w:val="22"/>
        </w:rPr>
      </w:pPr>
      <w:r>
        <w:rPr>
          <w:sz w:val="22"/>
        </w:rPr>
        <w:t>FGT Zone 2</w:t>
        <w:tab/>
        <w:tab/>
        <w:t>______</w:t>
      </w:r>
    </w:p>
    <w:p>
      <w:pPr>
        <w:pStyle w:val="Normal"/>
        <w:tabs>
          <w:tab w:val="clear" w:pos="720"/>
          <w:tab w:val="left" w:pos="360" w:leader="none"/>
        </w:tabs>
        <w:jc w:val="both"/>
        <w:rPr>
          <w:sz w:val="22"/>
        </w:rPr>
      </w:pPr>
      <w:r>
        <w:rPr>
          <w:sz w:val="22"/>
        </w:rPr>
        <w:t>FGT Zone 3</w:t>
        <w:tab/>
        <w:tab/>
        <w:t>______</w:t>
      </w:r>
    </w:p>
    <w:p>
      <w:pPr>
        <w:pStyle w:val="Normal"/>
        <w:tabs>
          <w:tab w:val="clear" w:pos="720"/>
          <w:tab w:val="left" w:pos="360" w:leader="none"/>
        </w:tabs>
        <w:jc w:val="both"/>
        <w:rPr>
          <w:sz w:val="22"/>
        </w:rPr>
      </w:pPr>
      <w:r>
        <w:rPr>
          <w:sz w:val="22"/>
        </w:rPr>
        <w:t>Winter Total</w:t>
        <w:tab/>
        <w:tab/>
        <w:t>282,000 MMBtu/day</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ab/>
        <w:tab/>
        <w:t xml:space="preserve">Summer(May – September) </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FGT Zone 1</w:t>
        <w:tab/>
        <w:tab/>
        <w:t>______</w:t>
      </w:r>
    </w:p>
    <w:p>
      <w:pPr>
        <w:pStyle w:val="Normal"/>
        <w:tabs>
          <w:tab w:val="clear" w:pos="720"/>
          <w:tab w:val="left" w:pos="360" w:leader="none"/>
        </w:tabs>
        <w:jc w:val="both"/>
        <w:rPr>
          <w:sz w:val="22"/>
        </w:rPr>
      </w:pPr>
      <w:r>
        <w:rPr>
          <w:sz w:val="22"/>
        </w:rPr>
        <w:t>FGT Zone 2</w:t>
        <w:tab/>
        <w:tab/>
        <w:t>______</w:t>
      </w:r>
    </w:p>
    <w:p>
      <w:pPr>
        <w:pStyle w:val="Normal"/>
        <w:tabs>
          <w:tab w:val="clear" w:pos="720"/>
          <w:tab w:val="left" w:pos="360" w:leader="none"/>
        </w:tabs>
        <w:jc w:val="both"/>
        <w:rPr>
          <w:sz w:val="22"/>
        </w:rPr>
      </w:pPr>
      <w:r>
        <w:rPr>
          <w:sz w:val="22"/>
        </w:rPr>
        <w:t>FGT Zone 3</w:t>
        <w:tab/>
        <w:tab/>
        <w:t>______</w:t>
      </w:r>
    </w:p>
    <w:p>
      <w:pPr>
        <w:pStyle w:val="Normal"/>
        <w:tabs>
          <w:tab w:val="clear" w:pos="720"/>
          <w:tab w:val="left" w:pos="360" w:leader="none"/>
        </w:tabs>
        <w:jc w:val="both"/>
        <w:rPr>
          <w:sz w:val="22"/>
        </w:rPr>
      </w:pPr>
      <w:r>
        <w:rPr>
          <w:sz w:val="22"/>
        </w:rPr>
        <w:t>Summer Total</w:t>
        <w:tab/>
        <w:tab/>
        <w:t>376,000 MMBtu/day</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i/>
          <w:i/>
          <w:sz w:val="22"/>
          <w:u w:val="single"/>
        </w:rPr>
      </w:pPr>
      <w:r>
        <w:rPr>
          <w:b/>
          <w:i/>
          <w:sz w:val="22"/>
          <w:u w:val="single"/>
        </w:rPr>
        <w:t>Period 3:  July 1, 2003 – February 28, 2010</w:t>
      </w:r>
    </w:p>
    <w:p>
      <w:pPr>
        <w:pStyle w:val="Normal"/>
        <w:tabs>
          <w:tab w:val="clear" w:pos="720"/>
          <w:tab w:val="left" w:pos="360" w:leader="none"/>
        </w:tabs>
        <w:jc w:val="both"/>
        <w:rPr>
          <w:b/>
          <w:i/>
          <w:i/>
          <w:sz w:val="22"/>
          <w:u w:val="single"/>
        </w:rPr>
      </w:pPr>
      <w:r>
        <w:rPr>
          <w:b/>
          <w:i/>
          <w:sz w:val="22"/>
          <w:u w:val="single"/>
        </w:rPr>
      </w:r>
    </w:p>
    <w:p>
      <w:pPr>
        <w:pStyle w:val="Normal"/>
        <w:tabs>
          <w:tab w:val="clear" w:pos="720"/>
          <w:tab w:val="left" w:pos="360" w:leader="none"/>
        </w:tabs>
        <w:jc w:val="both"/>
        <w:rPr>
          <w:sz w:val="22"/>
        </w:rPr>
      </w:pPr>
      <w:r>
        <w:rPr>
          <w:sz w:val="22"/>
        </w:rPr>
        <w:tab/>
        <w:tab/>
        <w:t>Winter(October – April)</w:t>
        <w:tab/>
        <w:tab/>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FGT Zone 1</w:t>
        <w:tab/>
        <w:tab/>
        <w:t>______</w:t>
      </w:r>
    </w:p>
    <w:p>
      <w:pPr>
        <w:pStyle w:val="Normal"/>
        <w:tabs>
          <w:tab w:val="clear" w:pos="720"/>
          <w:tab w:val="left" w:pos="360" w:leader="none"/>
        </w:tabs>
        <w:jc w:val="both"/>
        <w:rPr>
          <w:sz w:val="22"/>
        </w:rPr>
      </w:pPr>
      <w:r>
        <w:rPr>
          <w:sz w:val="22"/>
        </w:rPr>
        <w:t>FGT Zone 2</w:t>
        <w:tab/>
        <w:tab/>
        <w:t>______</w:t>
      </w:r>
    </w:p>
    <w:p>
      <w:pPr>
        <w:pStyle w:val="Normal"/>
        <w:tabs>
          <w:tab w:val="clear" w:pos="720"/>
          <w:tab w:val="left" w:pos="360" w:leader="none"/>
        </w:tabs>
        <w:jc w:val="both"/>
        <w:rPr>
          <w:sz w:val="22"/>
        </w:rPr>
      </w:pPr>
      <w:r>
        <w:rPr>
          <w:sz w:val="22"/>
        </w:rPr>
        <w:t>FGT Zone 3</w:t>
        <w:tab/>
        <w:tab/>
        <w:t>______</w:t>
      </w:r>
    </w:p>
    <w:p>
      <w:pPr>
        <w:pStyle w:val="Normal"/>
        <w:tabs>
          <w:tab w:val="clear" w:pos="720"/>
          <w:tab w:val="left" w:pos="360" w:leader="none"/>
        </w:tabs>
        <w:jc w:val="both"/>
        <w:rPr>
          <w:sz w:val="22"/>
        </w:rPr>
      </w:pPr>
      <w:r>
        <w:rPr>
          <w:sz w:val="22"/>
        </w:rPr>
        <w:t>Winter Total</w:t>
        <w:tab/>
        <w:tab/>
        <w:t>332,000 MMBtu/day</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ab/>
        <w:tab/>
        <w:t xml:space="preserve">Summer(May – September) </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FGT Zone 1</w:t>
        <w:tab/>
        <w:tab/>
        <w:t>______</w:t>
      </w:r>
    </w:p>
    <w:p>
      <w:pPr>
        <w:pStyle w:val="Normal"/>
        <w:tabs>
          <w:tab w:val="clear" w:pos="720"/>
          <w:tab w:val="left" w:pos="360" w:leader="none"/>
        </w:tabs>
        <w:jc w:val="both"/>
        <w:rPr>
          <w:sz w:val="22"/>
        </w:rPr>
      </w:pPr>
      <w:r>
        <w:rPr>
          <w:sz w:val="22"/>
        </w:rPr>
        <w:t>FGT Zone 2</w:t>
        <w:tab/>
        <w:tab/>
        <w:t>______</w:t>
      </w:r>
    </w:p>
    <w:p>
      <w:pPr>
        <w:pStyle w:val="Normal"/>
        <w:tabs>
          <w:tab w:val="clear" w:pos="720"/>
          <w:tab w:val="left" w:pos="360" w:leader="none"/>
        </w:tabs>
        <w:jc w:val="both"/>
        <w:rPr>
          <w:sz w:val="22"/>
        </w:rPr>
      </w:pPr>
      <w:r>
        <w:rPr>
          <w:sz w:val="22"/>
        </w:rPr>
        <w:t>FGT Zone 3</w:t>
        <w:tab/>
        <w:tab/>
        <w:t>______</w:t>
      </w:r>
    </w:p>
    <w:p>
      <w:pPr>
        <w:pStyle w:val="Normal"/>
        <w:tabs>
          <w:tab w:val="clear" w:pos="720"/>
          <w:tab w:val="left" w:pos="360" w:leader="none"/>
        </w:tabs>
        <w:jc w:val="both"/>
        <w:rPr>
          <w:sz w:val="22"/>
        </w:rPr>
      </w:pPr>
      <w:r>
        <w:rPr>
          <w:sz w:val="22"/>
        </w:rPr>
        <w:t>Summer Total</w:t>
        <w:tab/>
        <w:tab/>
        <w:t>426,000 MMBtu/day*</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*Assumes an extra 26,000 MMBtu/day post 2005</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r>
    </w:p>
    <w:p>
      <w:pPr>
        <w:pStyle w:val="BodyText"/>
        <w:rPr>
          <w:sz w:val="22"/>
        </w:rPr>
      </w:pPr>
      <w:r>
        <w:rPr>
          <w:sz w:val="22"/>
        </w:rPr>
      </w:r>
    </w:p>
    <w:sectPr>
      <w:footerReference w:type="default" r:id="rId2"/>
      <w:footerReference w:type="first" r:id="rId3"/>
      <w:type w:val="nextPage"/>
      <w:pgSz w:w="12240" w:h="15840"/>
      <w:pgMar w:left="1440" w:right="1440" w:gutter="0" w:header="0" w:top="1440" w:footer="28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Footer"/>
      <w:tabs>
        <w:tab w:val="clear" w:pos="8640"/>
        <w:tab w:val="center" w:pos="4320" w:leader="none"/>
        <w:tab w:val="right" w:pos="9630" w:leader="none"/>
      </w:tabs>
      <w:ind w:end="-990"/>
      <w:rPr/>
    </w:pPr>
    <w:r>
      <w:rPr>
        <w:sz w:val="20"/>
      </w:rPr>
      <w:object w:dxaOrig="1439" w:dyaOrig="106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7pt;height:53.25pt" filled="f" o:ole="">
          <v:imagedata r:id="rId2" o:title=""/>
        </v:shape>
        <o:OLEObject Type="Embed" ProgID="" ShapeID="ole_rId1" DrawAspect="Content" ObjectID="_33243890" r:id="rId1"/>
      </w:object>
    </w:r>
    <w:r>
      <w:rPr/>
      <w:t xml:space="preserve">                                                                                   </w:t>
    </w:r>
    <w:r>
      <w:rPr>
        <w:sz w:val="20"/>
      </w:rPr>
      <w:object w:dxaOrig="2064" w:dyaOrig="926">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03.2pt;height:46.3pt" filled="f" o:ole="">
          <v:imagedata r:id="rId4" o:title=""/>
        </v:shape>
        <o:OLEObject Type="Embed" ProgID="" ShapeID="ole_rId3" DrawAspect="Content" ObjectID="_1035993391" r:id="rId3"/>
      </w:objec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object w:dxaOrig="1439" w:dyaOrig="106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7pt;height:53.25pt" filled="f" o:ole="">
          <v:imagedata r:id="rId2" o:title=""/>
        </v:shape>
        <o:OLEObject Type="Embed" ProgID="" ShapeID="ole_rId1" DrawAspect="Content" ObjectID="_1984835173" r:id="rId1"/>
      </w:object>
    </w:r>
    <w:r>
      <w:rPr>
        <w:sz w:val="22"/>
      </w:rPr>
      <w:t xml:space="preserve">                                                                                              </w:t>
    </w:r>
    <w:r>
      <w:rPr>
        <w:sz w:val="20"/>
      </w:rPr>
      <w:object w:dxaOrig="2064" w:dyaOrig="926">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03.2pt;height:46.3pt" filled="f" o:ole="">
          <v:imagedata r:id="rId4" o:title=""/>
        </v:shape>
        <o:OLEObject Type="Embed" ProgID="" ShapeID="ole_rId3" DrawAspect="Content" ObjectID="_1922960316" r:id="rId3"/>
      </w:object>
    </w:r>
    <w:r>
      <w:rPr>
        <w:sz w:val="2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tabs>
        <w:tab w:val="clear" w:pos="720"/>
        <w:tab w:val="left" w:pos="360" w:leader="none"/>
      </w:tabs>
      <w:ind w:hanging="720" w:start="0" w:end="0"/>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keepNext w:val="true"/>
      <w:numPr>
        <w:ilvl w:val="4"/>
        <w:numId w:val="1"/>
      </w:numPr>
      <w:jc w:val="end"/>
      <w:outlineLvl w:val="4"/>
    </w:pPr>
    <w:rPr>
      <w:u w:val="single"/>
    </w:rPr>
  </w:style>
  <w:style w:type="paragraph" w:styleId="Heading6">
    <w:name w:val="heading 6"/>
    <w:basedOn w:val="Normal"/>
    <w:next w:val="Normal"/>
    <w:qFormat/>
    <w:pPr>
      <w:keepNext w:val="true"/>
      <w:numPr>
        <w:ilvl w:val="5"/>
        <w:numId w:val="1"/>
      </w:numPr>
      <w:tabs>
        <w:tab w:val="clear" w:pos="720"/>
        <w:tab w:val="left" w:pos="360" w:leader="none"/>
      </w:tabs>
      <w:jc w:val="center"/>
      <w:outlineLvl w:val="5"/>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i/>
      <w:sz w:val="18"/>
    </w:rPr>
  </w:style>
  <w:style w:type="paragraph" w:styleId="List">
    <w:name w:val="List"/>
    <w:basedOn w:val="BodyText"/>
    <w:pPr/>
    <w:rPr>
      <w:rFonts w:cs="NotoSans NF"/>
    </w:rPr>
  </w:style>
  <w:style w:type="paragraph" w:styleId="Caption">
    <w:name w:val="caption"/>
    <w:basedOn w:val="Normal"/>
    <w:next w:val="Normal"/>
    <w:qFormat/>
    <w:pPr>
      <w:jc w:val="center"/>
    </w:pPr>
    <w:rPr>
      <w:b/>
      <w:smallCap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20"/>
        <w:tab w:val="left" w:pos="360" w:leader="none"/>
      </w:tabs>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wmf"/>
</Relationships>
</file>

<file path=word/_rels/footer2.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png"/><Relationship Id="rId3" Type="http://schemas.openxmlformats.org/officeDocument/2006/relationships/oleObject" Target="embeddings/oleObject4.bin"/><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1999-06-09T10:04:00Z</dcterms:created>
  <dc:creator>ECT</dc:creator>
  <dc:description/>
  <dc:language>en-CA</dc:language>
  <cp:lastModifiedBy>hkroll</cp:lastModifiedBy>
  <cp:lastPrinted>1999-06-09T07:37:00Z</cp:lastPrinted>
  <dcterms:modified xsi:type="dcterms:W3CDTF">1999-06-09T10:17:00Z</dcterms:modified>
  <cp:revision>4</cp:revision>
  <dc:subject/>
  <dc:title>SUMMARY OF TERMS FOR PROPOSED TRANSACTION BETWEEN</dc:title>
</cp:coreProperties>
</file>