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b w:val="false"/>
          <w:bCs w:val="false"/>
          <w:i w:val="false"/>
          <w:i w:val="false"/>
          <w:iCs w:val="false"/>
        </w:rPr>
      </w:pPr>
      <w:r>
        <w:rPr>
          <w:b w:val="false"/>
          <w:bCs w:val="false"/>
          <w:i w:val="false"/>
          <w:iCs w:val="false"/>
        </w:rPr>
      </w:r>
    </w:p>
    <w:p>
      <w:pPr>
        <w:pStyle w:val="BodyTextIndent2"/>
        <w:rPr>
          <w:b w:val="false"/>
          <w:bCs w:val="false"/>
          <w:i w:val="false"/>
          <w:i w:val="false"/>
          <w:iCs w:val="false"/>
        </w:rPr>
      </w:pPr>
      <w:r>
        <w:rPr>
          <w:b w:val="false"/>
          <w:bCs w:val="false"/>
          <w:i w:val="false"/>
          <w:iCs w:val="false"/>
        </w:rPr>
        <w:t>To:</w:t>
        <w:tab/>
        <w:t>Steve Kean</w:t>
      </w:r>
    </w:p>
    <w:p>
      <w:pPr>
        <w:pStyle w:val="BodyTextIndent2"/>
        <w:rPr>
          <w:b w:val="false"/>
          <w:bCs w:val="false"/>
          <w:i w:val="false"/>
          <w:i w:val="false"/>
          <w:iCs w:val="false"/>
        </w:rPr>
      </w:pPr>
      <w:r>
        <w:rPr>
          <w:b w:val="false"/>
          <w:bCs w:val="false"/>
          <w:i w:val="false"/>
          <w:iCs w:val="false"/>
        </w:rPr>
      </w:r>
    </w:p>
    <w:p>
      <w:pPr>
        <w:pStyle w:val="BodyTextIndent2"/>
        <w:rPr>
          <w:b w:val="false"/>
          <w:bCs w:val="false"/>
          <w:i w:val="false"/>
          <w:i w:val="false"/>
          <w:iCs w:val="false"/>
        </w:rPr>
      </w:pPr>
      <w:r>
        <w:rPr>
          <w:b w:val="false"/>
          <w:bCs w:val="false"/>
          <w:i w:val="false"/>
          <w:iCs w:val="false"/>
        </w:rPr>
        <w:t>From:</w:t>
        <w:tab/>
        <w:t>Jeff Dasovich</w:t>
      </w:r>
    </w:p>
    <w:p>
      <w:pPr>
        <w:pStyle w:val="BodyTextIndent2"/>
        <w:rPr>
          <w:b w:val="false"/>
          <w:bCs w:val="false"/>
          <w:i w:val="false"/>
          <w:i w:val="false"/>
          <w:iCs w:val="false"/>
        </w:rPr>
      </w:pPr>
      <w:r>
        <w:rPr>
          <w:b w:val="false"/>
          <w:bCs w:val="false"/>
          <w:i w:val="false"/>
          <w:iCs w:val="false"/>
        </w:rPr>
      </w:r>
    </w:p>
    <w:p>
      <w:pPr>
        <w:pStyle w:val="BodyTextIndent2"/>
        <w:rPr>
          <w:b w:val="false"/>
          <w:bCs w:val="false"/>
          <w:i w:val="false"/>
          <w:i w:val="false"/>
          <w:iCs w:val="false"/>
        </w:rPr>
      </w:pPr>
      <w:r>
        <w:rPr>
          <w:b w:val="false"/>
          <w:bCs w:val="false"/>
          <w:i w:val="false"/>
          <w:iCs w:val="false"/>
        </w:rPr>
        <w:t>Date:</w:t>
        <w:tab/>
        <w:t>October 24, 2000</w:t>
      </w:r>
    </w:p>
    <w:p>
      <w:pPr>
        <w:pStyle w:val="BodyTextIndent2"/>
        <w:rPr>
          <w:b w:val="false"/>
          <w:bCs w:val="false"/>
          <w:i w:val="false"/>
          <w:i w:val="false"/>
          <w:iCs w:val="false"/>
        </w:rPr>
      </w:pPr>
      <w:r>
        <w:rPr>
          <w:b w:val="false"/>
          <w:bCs w:val="false"/>
          <w:i w:val="false"/>
          <w:iCs w:val="false"/>
        </w:rPr>
      </w:r>
    </w:p>
    <w:p>
      <w:pPr>
        <w:pStyle w:val="BodyTextIndent2"/>
        <w:rPr>
          <w:b w:val="false"/>
          <w:bCs w:val="false"/>
          <w:i w:val="false"/>
          <w:i w:val="false"/>
          <w:iCs w:val="false"/>
        </w:rPr>
      </w:pPr>
      <w:r>
        <w:rPr>
          <w:b w:val="false"/>
          <w:bCs w:val="false"/>
          <w:i w:val="false"/>
          <w:iCs w:val="false"/>
        </w:rPr>
        <w:t>Re:</w:t>
        <w:tab/>
      </w:r>
      <w:r>
        <w:rPr>
          <w:b w:val="false"/>
          <w:bCs w:val="false"/>
        </w:rPr>
        <w:t xml:space="preserve">Can the California PUC provide the solution to the utilities’ “undercollection” problem, or is a “legislative fix” required? </w:t>
      </w:r>
    </w:p>
    <w:p>
      <w:pPr>
        <w:pStyle w:val="BodyTextIndent2"/>
        <w:pBdr>
          <w:top w:val="single" w:sz="4" w:space="1" w:color="000000"/>
        </w:pBdr>
        <w:rPr>
          <w:b w:val="false"/>
          <w:bCs w:val="false"/>
          <w:i w:val="false"/>
          <w:i w:val="false"/>
          <w:iCs w:val="false"/>
        </w:rPr>
      </w:pPr>
      <w:r>
        <w:rPr>
          <w:b w:val="false"/>
          <w:bCs w:val="false"/>
          <w:i w:val="false"/>
          <w:iCs w:val="false"/>
        </w:rPr>
      </w:r>
    </w:p>
    <w:p>
      <w:pPr>
        <w:pStyle w:val="Heading2"/>
        <w:ind w:hanging="0" w:start="0"/>
        <w:rPr>
          <w:b/>
          <w:bCs/>
        </w:rPr>
      </w:pPr>
      <w:r>
        <w:rPr>
          <w:b/>
          <w:bCs/>
        </w:rPr>
        <w:t>Summary/Conclusion</w:t>
      </w:r>
    </w:p>
    <w:p>
      <w:pPr>
        <w:pStyle w:val="BodyTextIndent"/>
        <w:rPr/>
      </w:pPr>
      <w:r>
        <w:rPr/>
        <w:t>Theoretically, the California PUC could provide the relief necessary to solve the utilties’ “undercollection” problem.  At least three things are required for theory to become reality, however:</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5"/>
        </w:numPr>
        <w:autoSpaceDE w:val="false"/>
        <w:spacing w:lineRule="atLeast" w:line="240"/>
        <w:rPr>
          <w:color w:val="000000"/>
          <w:sz w:val="20"/>
          <w:szCs w:val="20"/>
        </w:rPr>
      </w:pPr>
      <w:r>
        <w:rPr>
          <w:color w:val="000000"/>
          <w:sz w:val="20"/>
          <w:szCs w:val="20"/>
        </w:rPr>
        <w:t>The PUC would have to agree to “net out” the windfall revenues the utilities have received from their residual generation and QF power sales against the “undercollections” resulting from PX prices exceeding the rate freeze.  (Interestingly, TURN proposed the “net out” option in a report just released.)</w:t>
      </w:r>
    </w:p>
    <w:p>
      <w:pPr>
        <w:pStyle w:val="Normal"/>
        <w:keepLines/>
        <w:autoSpaceDE w:val="false"/>
        <w:spacing w:lineRule="atLeast" w:line="240"/>
        <w:ind w:start="54" w:end="0"/>
        <w:rPr>
          <w:color w:val="000000"/>
          <w:sz w:val="20"/>
          <w:szCs w:val="20"/>
        </w:rPr>
      </w:pPr>
      <w:r>
        <w:rPr>
          <w:color w:val="000000"/>
          <w:sz w:val="20"/>
          <w:szCs w:val="20"/>
        </w:rPr>
      </w:r>
    </w:p>
    <w:p>
      <w:pPr>
        <w:pStyle w:val="Normal"/>
        <w:keepLines/>
        <w:numPr>
          <w:ilvl w:val="0"/>
          <w:numId w:val="5"/>
        </w:numPr>
        <w:autoSpaceDE w:val="false"/>
        <w:spacing w:lineRule="atLeast" w:line="240"/>
        <w:rPr>
          <w:color w:val="000000"/>
          <w:sz w:val="20"/>
          <w:szCs w:val="20"/>
        </w:rPr>
      </w:pPr>
      <w:r>
        <w:rPr>
          <w:color w:val="000000"/>
          <w:sz w:val="20"/>
          <w:szCs w:val="20"/>
        </w:rPr>
        <w:t>Any remaining undercollection resulting from the “net out” would have to be small enough to permit recovery through “head room” before the transition ends on 3.31.02. (Current price curves makes this condition difficult to achieve.)</w:t>
      </w:r>
    </w:p>
    <w:p>
      <w:pPr>
        <w:pStyle w:val="Normal"/>
        <w:keepLines/>
        <w:autoSpaceDE w:val="false"/>
        <w:spacing w:lineRule="atLeast" w:line="240"/>
        <w:ind w:start="54" w:end="0"/>
        <w:rPr>
          <w:color w:val="000000"/>
          <w:sz w:val="20"/>
          <w:szCs w:val="20"/>
        </w:rPr>
      </w:pPr>
      <w:r>
        <w:rPr>
          <w:color w:val="000000"/>
          <w:sz w:val="20"/>
          <w:szCs w:val="20"/>
        </w:rPr>
      </w:r>
    </w:p>
    <w:p>
      <w:pPr>
        <w:pStyle w:val="Normal"/>
        <w:keepLines/>
        <w:numPr>
          <w:ilvl w:val="0"/>
          <w:numId w:val="5"/>
        </w:numPr>
        <w:autoSpaceDE w:val="false"/>
        <w:spacing w:lineRule="atLeast" w:line="240"/>
        <w:rPr>
          <w:color w:val="000000"/>
          <w:sz w:val="20"/>
          <w:szCs w:val="20"/>
        </w:rPr>
      </w:pPr>
      <w:r>
        <w:rPr>
          <w:color w:val="000000"/>
          <w:sz w:val="20"/>
          <w:szCs w:val="20"/>
        </w:rPr>
        <w:t>The PUC would have to “delay” valuation of utility hydro (i.e., keep stranded costs from “rolling off”) in order to keep any “undercollections” eligible for recovery, consistent with AB 1890.  (Loretta Lynch has expressed an interest in delay.)</w:t>
      </w:r>
    </w:p>
    <w:p>
      <w:pPr>
        <w:pStyle w:val="Normal"/>
        <w:keepLines/>
        <w:autoSpaceDE w:val="false"/>
        <w:spacing w:lineRule="atLeast" w:line="240"/>
        <w:ind w:start="54" w:end="0"/>
        <w:rPr>
          <w:color w:val="000000"/>
          <w:sz w:val="20"/>
          <w:szCs w:val="20"/>
        </w:rPr>
      </w:pPr>
      <w:r>
        <w:rPr>
          <w:color w:val="000000"/>
          <w:sz w:val="20"/>
          <w:szCs w:val="20"/>
        </w:rPr>
      </w:r>
    </w:p>
    <w:p>
      <w:pPr>
        <w:pStyle w:val="Normal"/>
        <w:keepLines/>
        <w:autoSpaceDE w:val="false"/>
        <w:spacing w:lineRule="atLeast" w:line="240"/>
        <w:ind w:firstLine="360" w:end="0"/>
        <w:rPr/>
      </w:pPr>
      <w:r>
        <w:rPr>
          <w:color w:val="000000"/>
          <w:sz w:val="20"/>
          <w:szCs w:val="20"/>
        </w:rPr>
        <w:t>Absent these conditions, relief would require legislation.  Moreover, the likelihood is high that the Legislature will seek its own “solution,” irrespective of whether relief is within the PUC’s jurisdiction.  A recent press report quotes Rod Wright, Chair of the Assembly oversight committee, saying that the Legislature, “</w:t>
      </w:r>
      <w:r>
        <w:rPr>
          <w:rFonts w:cs="Tms Rmn;Times New Roman" w:ascii="Tms Rmn;Times New Roman" w:hAnsi="Tms Rmn;Times New Roman"/>
          <w:color w:val="000000"/>
          <w:sz w:val="20"/>
          <w:szCs w:val="20"/>
        </w:rPr>
        <w:t>’will probably decide the issue’ but that it also could end up in court.”  He made the statement at a regular business meeting of the PUC on 10.19.000.  For this reason, and other reasons discussed below, the Legislature is likely to address the issue squarely in the upcoming session, or in a special session.</w:t>
      </w:r>
    </w:p>
    <w:p>
      <w:pPr>
        <w:pStyle w:val="Normal"/>
        <w:keepLines/>
        <w:autoSpaceDE w:val="false"/>
        <w:spacing w:lineRule="atLeast" w:line="240"/>
        <w:ind w:firstLine="360" w:end="0"/>
        <w:rPr>
          <w:rFonts w:ascii="Tms Rmn;Times New Roman" w:hAnsi="Tms Rmn;Times New Roman" w:cs="Tms Rmn;Times New Roman"/>
          <w:color w:val="000000"/>
          <w:sz w:val="20"/>
          <w:szCs w:val="20"/>
        </w:rPr>
      </w:pPr>
      <w:r>
        <w:rPr>
          <w:rFonts w:cs="Tms Rmn;Times New Roman" w:ascii="Tms Rmn;Times New Roman" w:hAnsi="Tms Rmn;Times New Roman"/>
          <w:color w:val="000000"/>
          <w:sz w:val="20"/>
          <w:szCs w:val="20"/>
        </w:rPr>
      </w:r>
    </w:p>
    <w:p>
      <w:pPr>
        <w:pStyle w:val="Heading1"/>
        <w:keepLines/>
        <w:autoSpaceDE w:val="false"/>
        <w:spacing w:lineRule="atLeast" w:line="240"/>
        <w:ind w:hanging="0" w:start="0"/>
        <w:rPr/>
      </w:pPr>
      <w:r>
        <w:rPr/>
        <w:t>Analysis</w:t>
      </w:r>
    </w:p>
    <w:p>
      <w:pPr>
        <w:pStyle w:val="Normal"/>
        <w:keepLines/>
        <w:autoSpaceDE w:val="false"/>
        <w:spacing w:lineRule="atLeast" w:line="240"/>
        <w:ind w:firstLine="360" w:end="0"/>
        <w:rPr>
          <w:color w:val="000000"/>
          <w:sz w:val="20"/>
          <w:szCs w:val="20"/>
        </w:rPr>
      </w:pPr>
      <w:r>
        <w:rPr>
          <w:color w:val="000000"/>
          <w:sz w:val="20"/>
          <w:szCs w:val="20"/>
        </w:rPr>
        <w:t>The three sources of pertinent revenues (or lack thereof) include:</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720" w:end="0"/>
        <w:rPr>
          <w:color w:val="000000"/>
          <w:sz w:val="20"/>
          <w:szCs w:val="20"/>
        </w:rPr>
      </w:pPr>
      <w:r>
        <w:rPr>
          <w:b/>
          <w:bCs/>
          <w:i/>
          <w:iCs/>
          <w:color w:val="000000"/>
          <w:sz w:val="20"/>
          <w:szCs w:val="20"/>
        </w:rPr>
        <w:t>“</w:t>
      </w:r>
      <w:r>
        <w:rPr>
          <w:b/>
          <w:bCs/>
          <w:i/>
          <w:iCs/>
          <w:color w:val="000000"/>
          <w:sz w:val="20"/>
          <w:szCs w:val="20"/>
        </w:rPr>
        <w:t>Headroom</w:t>
      </w:r>
      <w:r>
        <w:rPr>
          <w:color w:val="000000"/>
          <w:sz w:val="20"/>
          <w:szCs w:val="20"/>
        </w:rPr>
        <w:t>”:  Any revenues resulting from "low" PX prices (i.e., utility costs to deliver power are less than the price freeze).  These costs are placed in a separate account and go toward paying down (predominantly) sunk generation costs.  The utility has until 3.31.02 to take advantage of "head room" and pay down these costs.  The utility eats any costs left unrecovered at 3.31.02.  The time constraint is embedded in AB 1890.</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720" w:end="0"/>
        <w:rPr>
          <w:color w:val="000000"/>
          <w:sz w:val="20"/>
          <w:szCs w:val="20"/>
        </w:rPr>
      </w:pPr>
      <w:r>
        <w:rPr>
          <w:b/>
          <w:bCs/>
          <w:i/>
          <w:iCs/>
          <w:color w:val="000000"/>
          <w:sz w:val="20"/>
          <w:szCs w:val="20"/>
        </w:rPr>
        <w:t>“</w:t>
      </w:r>
      <w:r>
        <w:rPr>
          <w:b/>
          <w:bCs/>
          <w:i/>
          <w:iCs/>
          <w:color w:val="000000"/>
          <w:sz w:val="20"/>
          <w:szCs w:val="20"/>
        </w:rPr>
        <w:t>Utility generation windfall”</w:t>
      </w:r>
      <w:r>
        <w:rPr>
          <w:color w:val="000000"/>
          <w:sz w:val="20"/>
          <w:szCs w:val="20"/>
        </w:rPr>
        <w:t>:  Any revenues that arise when PX prices exceed the cost of utility-held generation (including QF generation).  The windfall (or shortfall) is tracked in a separate account.  Any windfall goes toward paying down the utilities’ generating sunk costs.</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720" w:end="0"/>
        <w:rPr>
          <w:color w:val="000000"/>
          <w:sz w:val="20"/>
          <w:szCs w:val="20"/>
        </w:rPr>
      </w:pPr>
      <w:r>
        <w:rPr>
          <w:b/>
          <w:bCs/>
          <w:i/>
          <w:iCs/>
          <w:color w:val="000000"/>
          <w:sz w:val="20"/>
          <w:szCs w:val="20"/>
        </w:rPr>
        <w:t>“</w:t>
      </w:r>
      <w:r>
        <w:rPr>
          <w:b/>
          <w:bCs/>
          <w:i/>
          <w:iCs/>
          <w:color w:val="000000"/>
          <w:sz w:val="20"/>
          <w:szCs w:val="20"/>
        </w:rPr>
        <w:t>Undercollection”</w:t>
      </w:r>
      <w:r>
        <w:rPr>
          <w:color w:val="000000"/>
          <w:sz w:val="20"/>
          <w:szCs w:val="20"/>
        </w:rPr>
        <w:t>:  Any "undercollection" that results from "high" PX prices (i.e., utility costs to deliver power exceed the price freeze).  Undercollections (or overcollections) are tracked in a separate account.  The utility can recover "undercollected" costs until a) all sunks costs are recovered or b) March 31, 2002, whichever comes first.  This constraint is embedded in AB 1890.</w:t>
      </w:r>
    </w:p>
    <w:p>
      <w:pPr>
        <w:pStyle w:val="Normal"/>
        <w:keepLines/>
        <w:autoSpaceDE w:val="false"/>
        <w:spacing w:lineRule="atLeast" w:line="240"/>
        <w:ind w:start="360" w:end="0"/>
        <w:rPr>
          <w:color w:val="000000"/>
          <w:sz w:val="20"/>
          <w:szCs w:val="20"/>
        </w:rPr>
      </w:pPr>
      <w:r>
        <w:rPr>
          <w:color w:val="000000"/>
          <w:sz w:val="20"/>
          <w:szCs w:val="20"/>
        </w:rPr>
      </w:r>
    </w:p>
    <w:p>
      <w:pPr>
        <w:pStyle w:val="Normal"/>
        <w:ind w:firstLine="360" w:end="0"/>
        <w:rPr>
          <w:color w:val="000000"/>
          <w:sz w:val="20"/>
          <w:szCs w:val="20"/>
        </w:rPr>
      </w:pPr>
      <w:r>
        <w:rPr>
          <w:color w:val="000000"/>
          <w:sz w:val="20"/>
          <w:szCs w:val="20"/>
        </w:rPr>
        <w:t xml:space="preserve">The PUC established a firewall between the accounts.  The “undercollection” account sits on one side of the firewall; the “headroom” and “utility generation windfall” accounts sit on the other side of the firewall.  The result:  </w:t>
      </w:r>
    </w:p>
    <w:p>
      <w:pPr>
        <w:pStyle w:val="Normal"/>
        <w:rPr>
          <w:color w:val="000000"/>
          <w:sz w:val="20"/>
          <w:szCs w:val="20"/>
        </w:rPr>
      </w:pPr>
      <w:r>
        <w:rPr>
          <w:color w:val="000000"/>
          <w:sz w:val="20"/>
          <w:szCs w:val="20"/>
        </w:rPr>
      </w:r>
    </w:p>
    <w:p>
      <w:pPr>
        <w:pStyle w:val="Normal"/>
        <w:numPr>
          <w:ilvl w:val="0"/>
          <w:numId w:val="3"/>
        </w:numPr>
        <w:rPr>
          <w:color w:val="000000"/>
          <w:sz w:val="20"/>
          <w:szCs w:val="20"/>
        </w:rPr>
      </w:pPr>
      <w:r>
        <w:rPr>
          <w:color w:val="000000"/>
          <w:sz w:val="20"/>
          <w:szCs w:val="20"/>
        </w:rPr>
        <w:t>Shareholders are at risk for the recovery of "undercollected" costs that arise when the utility's delivery costs exceed the price freeze (#3, above).  The utility must absorb any “undercollected” costs remaining when either 1) stranded costs are paid off or 2) the transition ends on March 31, 2002.</w:t>
      </w:r>
    </w:p>
    <w:p>
      <w:pPr>
        <w:pStyle w:val="Normal"/>
        <w:rPr>
          <w:color w:val="000000"/>
          <w:sz w:val="20"/>
          <w:szCs w:val="20"/>
        </w:rPr>
      </w:pPr>
      <w:r>
        <w:rPr>
          <w:color w:val="000000"/>
          <w:sz w:val="20"/>
          <w:szCs w:val="20"/>
        </w:rPr>
      </w:r>
    </w:p>
    <w:p>
      <w:pPr>
        <w:pStyle w:val="Normal"/>
        <w:numPr>
          <w:ilvl w:val="0"/>
          <w:numId w:val="3"/>
        </w:numPr>
        <w:rPr>
          <w:color w:val="000000"/>
          <w:sz w:val="20"/>
          <w:szCs w:val="20"/>
        </w:rPr>
      </w:pPr>
      <w:r>
        <w:rPr>
          <w:color w:val="000000"/>
          <w:sz w:val="20"/>
          <w:szCs w:val="20"/>
        </w:rPr>
        <w:t>Customers benefit from any “headroom” and/or “windfall” revenues collected in excess of the revenues needed to pay down stranded costs (#s 1 and 2, above).</w:t>
      </w:r>
    </w:p>
    <w:p>
      <w:pPr>
        <w:pStyle w:val="Normal"/>
        <w:rPr>
          <w:color w:val="000000"/>
          <w:sz w:val="20"/>
          <w:szCs w:val="20"/>
        </w:rPr>
      </w:pPr>
      <w:r>
        <w:rPr>
          <w:color w:val="000000"/>
          <w:sz w:val="20"/>
          <w:szCs w:val="20"/>
        </w:rPr>
      </w:r>
    </w:p>
    <w:p>
      <w:pPr>
        <w:pStyle w:val="Normal"/>
        <w:ind w:firstLine="360" w:end="0"/>
        <w:rPr/>
      </w:pPr>
      <w:r>
        <w:rPr>
          <w:color w:val="000000"/>
          <w:sz w:val="20"/>
          <w:szCs w:val="20"/>
        </w:rPr>
        <w:t xml:space="preserve">When (and if) 1) the PUC ultimately values </w:t>
      </w:r>
      <w:r>
        <w:rPr>
          <w:b/>
          <w:bCs/>
          <w:i/>
          <w:iCs/>
          <w:color w:val="000000"/>
          <w:sz w:val="20"/>
          <w:szCs w:val="20"/>
        </w:rPr>
        <w:t>all</w:t>
      </w:r>
      <w:r>
        <w:rPr>
          <w:color w:val="000000"/>
          <w:sz w:val="20"/>
          <w:szCs w:val="20"/>
        </w:rPr>
        <w:t xml:space="preserve"> of the utilities generation assets, and 2) that valuation results in full recovery by the utility of its sunk generation assets, then a) the rate freeze ends, b) the CTC tax ends, and c) the utility must absorb any “undercollected” costs remaining in the account.  Under AB 1890, the rate freeze and CTC collection cannot end until all of the utility generation assets are valued.</w:t>
      </w:r>
    </w:p>
    <w:p>
      <w:pPr>
        <w:pStyle w:val="Normal"/>
        <w:rPr>
          <w:color w:val="000000"/>
          <w:sz w:val="20"/>
          <w:szCs w:val="20"/>
        </w:rPr>
      </w:pPr>
      <w:r>
        <w:rPr>
          <w:color w:val="000000"/>
          <w:sz w:val="20"/>
          <w:szCs w:val="20"/>
        </w:rPr>
      </w:r>
    </w:p>
    <w:p>
      <w:pPr>
        <w:pStyle w:val="Heading1"/>
        <w:ind w:hanging="0" w:start="0"/>
        <w:rPr>
          <w:i/>
          <w:i/>
          <w:iCs/>
          <w:u w:val="none"/>
        </w:rPr>
      </w:pPr>
      <w:r>
        <w:rPr>
          <w:i/>
          <w:iCs/>
          <w:u w:val="none"/>
        </w:rPr>
        <w:t>Can the Utilities Seek Relief From The PUC Or Is Legislation Required?</w:t>
      </w:r>
    </w:p>
    <w:p>
      <w:pPr>
        <w:pStyle w:val="Normal"/>
        <w:ind w:firstLine="360" w:end="0"/>
        <w:rPr>
          <w:i/>
          <w:i/>
          <w:iCs/>
          <w:color w:val="000000"/>
          <w:sz w:val="20"/>
          <w:szCs w:val="20"/>
          <w:u w:val="none"/>
        </w:rPr>
      </w:pPr>
      <w:r>
        <w:rPr>
          <w:i/>
          <w:iCs/>
          <w:color w:val="000000"/>
          <w:sz w:val="20"/>
          <w:szCs w:val="20"/>
          <w:u w:val="none"/>
        </w:rPr>
      </w:r>
    </w:p>
    <w:p>
      <w:pPr>
        <w:pStyle w:val="Normal"/>
        <w:ind w:firstLine="360" w:end="0"/>
        <w:rPr>
          <w:color w:val="000000"/>
          <w:sz w:val="20"/>
          <w:szCs w:val="20"/>
        </w:rPr>
      </w:pPr>
      <w:r>
        <w:rPr>
          <w:color w:val="000000"/>
          <w:sz w:val="20"/>
          <w:szCs w:val="20"/>
        </w:rPr>
        <w:t xml:space="preserve">Theoretically, the utilities do not require a “legislation fix” to recover their “undercollected” costs.  Practically speaking, however, the utilities may be forced to seek, or may prefer, a legislative fix. </w:t>
      </w:r>
    </w:p>
    <w:p>
      <w:pPr>
        <w:pStyle w:val="Normal"/>
        <w:rPr>
          <w:color w:val="000000"/>
          <w:sz w:val="20"/>
          <w:szCs w:val="20"/>
        </w:rPr>
      </w:pPr>
      <w:r>
        <w:rPr>
          <w:color w:val="000000"/>
          <w:sz w:val="20"/>
          <w:szCs w:val="20"/>
        </w:rPr>
      </w:r>
    </w:p>
    <w:p>
      <w:pPr>
        <w:pStyle w:val="Heading1"/>
        <w:ind w:hanging="0" w:start="0"/>
        <w:rPr>
          <w:u w:val="none"/>
        </w:rPr>
      </w:pPr>
      <w:r>
        <w:rPr>
          <w:u w:val="none"/>
        </w:rPr>
        <w:t>The Theory</w:t>
      </w:r>
    </w:p>
    <w:p>
      <w:pPr>
        <w:pStyle w:val="Normal"/>
        <w:ind w:firstLine="360" w:end="0"/>
        <w:rPr>
          <w:color w:val="000000"/>
          <w:sz w:val="20"/>
          <w:szCs w:val="20"/>
        </w:rPr>
      </w:pPr>
      <w:r>
        <w:rPr>
          <w:color w:val="000000"/>
          <w:sz w:val="20"/>
          <w:szCs w:val="20"/>
        </w:rPr>
        <w:t>Theoretically, the PUC could solve the utilities’ undercollection problem by:</w:t>
      </w:r>
    </w:p>
    <w:p>
      <w:pPr>
        <w:pStyle w:val="Normal"/>
        <w:rPr>
          <w:color w:val="000000"/>
          <w:sz w:val="20"/>
          <w:szCs w:val="20"/>
        </w:rPr>
      </w:pPr>
      <w:r>
        <w:rPr>
          <w:color w:val="000000"/>
          <w:sz w:val="20"/>
          <w:szCs w:val="20"/>
        </w:rPr>
      </w:r>
    </w:p>
    <w:p>
      <w:pPr>
        <w:pStyle w:val="Normal"/>
        <w:numPr>
          <w:ilvl w:val="0"/>
          <w:numId w:val="2"/>
        </w:numPr>
        <w:rPr>
          <w:i/>
          <w:i/>
          <w:iCs/>
          <w:sz w:val="20"/>
        </w:rPr>
      </w:pPr>
      <w:r>
        <w:rPr>
          <w:i/>
          <w:iCs/>
          <w:color w:val="000000"/>
          <w:sz w:val="20"/>
          <w:szCs w:val="20"/>
        </w:rPr>
        <w:t>Delaying the valuation of the utilities hydro until 3.31.02.</w:t>
      </w:r>
    </w:p>
    <w:p>
      <w:pPr>
        <w:pStyle w:val="Normal"/>
        <w:rPr>
          <w:i/>
          <w:i/>
          <w:iCs/>
          <w:color w:val="000000"/>
          <w:sz w:val="20"/>
          <w:szCs w:val="20"/>
        </w:rPr>
      </w:pPr>
      <w:r>
        <w:rPr>
          <w:i/>
          <w:iCs/>
          <w:color w:val="000000"/>
          <w:sz w:val="20"/>
          <w:szCs w:val="20"/>
        </w:rPr>
      </w:r>
    </w:p>
    <w:p>
      <w:pPr>
        <w:pStyle w:val="Normal"/>
        <w:ind w:firstLine="360" w:end="0"/>
        <w:rPr>
          <w:sz w:val="20"/>
        </w:rPr>
      </w:pPr>
      <w:r>
        <w:rPr>
          <w:color w:val="000000"/>
          <w:sz w:val="20"/>
          <w:szCs w:val="20"/>
        </w:rPr>
        <w:t xml:space="preserve">If the PUC does not value the hydro assets, the price freeze and the ability to collect “headroom” continue and the utility can continue to recover any undercollections until 3.31.02.  </w:t>
      </w:r>
    </w:p>
    <w:p>
      <w:pPr>
        <w:pStyle w:val="Normal"/>
        <w:rPr>
          <w:sz w:val="20"/>
        </w:rPr>
      </w:pPr>
      <w:r>
        <w:rPr>
          <w:sz w:val="20"/>
        </w:rPr>
      </w:r>
    </w:p>
    <w:p>
      <w:pPr>
        <w:pStyle w:val="Normal"/>
        <w:numPr>
          <w:ilvl w:val="0"/>
          <w:numId w:val="4"/>
        </w:numPr>
        <w:tabs>
          <w:tab w:val="clear" w:pos="720"/>
        </w:tabs>
        <w:ind w:hanging="360" w:start="720" w:end="0"/>
        <w:rPr>
          <w:i/>
          <w:i/>
          <w:iCs/>
          <w:sz w:val="20"/>
        </w:rPr>
      </w:pPr>
      <w:r>
        <w:rPr>
          <w:i/>
          <w:iCs/>
          <w:sz w:val="20"/>
        </w:rPr>
        <w:t>Removing the PUC-established firewall between the “undercollection” account and the account that houses the utilies’ windfall revenues from power sales, permitting one to offset the other.</w:t>
      </w:r>
    </w:p>
    <w:p>
      <w:pPr>
        <w:pStyle w:val="BodyText"/>
        <w:rPr>
          <w:rFonts w:ascii="Times New Roman" w:hAnsi="Times New Roman" w:cs="Times New Roman"/>
          <w:i/>
          <w:i/>
          <w:iCs/>
          <w:sz w:val="20"/>
        </w:rPr>
      </w:pPr>
      <w:r>
        <w:rPr>
          <w:rFonts w:cs="Times New Roman" w:ascii="Times New Roman" w:hAnsi="Times New Roman"/>
          <w:i/>
          <w:iCs/>
          <w:sz w:val="20"/>
        </w:rPr>
      </w:r>
    </w:p>
    <w:p>
      <w:pPr>
        <w:pStyle w:val="BodyText"/>
        <w:ind w:firstLine="360" w:end="0"/>
        <w:rPr>
          <w:rFonts w:ascii="Times New Roman" w:hAnsi="Times New Roman" w:cs="Times New Roman"/>
        </w:rPr>
      </w:pPr>
      <w:r>
        <w:rPr>
          <w:rFonts w:cs="Times New Roman" w:ascii="Times New Roman" w:hAnsi="Times New Roman"/>
        </w:rPr>
        <w:t xml:space="preserve">The PUC, not the Legislature, created the firewall; therefore, the PUC can remove it.  This would allow the PUC to net out the undercollection and the windfall and reduce the shortfall.  The key issue is whether the combined effect of the windfall from power sales (when prices are “high”) and any “headroom” (when prices are “low”) is enough to reasonably offset the current undercollection, and prevent further undercollections going forward.  EES’ models forecast that the “net” undercollection remaining at the end of the transition period is likely to be significant. (Whether policy makers will feel compelled to grant the utilities 100% recovery of undercollections, or something less than that, is comparably important—and uncertain—at this point.)   </w:t>
      </w:r>
    </w:p>
    <w:p>
      <w:pPr>
        <w:pStyle w:val="Normal"/>
        <w:ind w:firstLine="360" w:end="0"/>
        <w:rPr>
          <w:rFonts w:ascii="Times New Roman" w:hAnsi="Times New Roman" w:cs="Times New Roman"/>
          <w:sz w:val="20"/>
        </w:rPr>
      </w:pPr>
      <w:r>
        <w:rPr>
          <w:rFonts w:cs="Times New Roman"/>
          <w:sz w:val="20"/>
        </w:rPr>
      </w:r>
    </w:p>
    <w:p>
      <w:pPr>
        <w:pStyle w:val="BodyText"/>
        <w:rPr>
          <w:rFonts w:ascii="Times New Roman" w:hAnsi="Times New Roman" w:cs="Times New Roman"/>
        </w:rPr>
      </w:pPr>
      <w:r>
        <w:rPr>
          <w:rFonts w:cs="Times New Roman" w:ascii="Times New Roman" w:hAnsi="Times New Roman"/>
          <w:b/>
          <w:bCs/>
        </w:rPr>
        <w:t>The Practice</w:t>
      </w:r>
    </w:p>
    <w:p>
      <w:pPr>
        <w:pStyle w:val="BodyText"/>
        <w:ind w:firstLine="360" w:end="0"/>
        <w:rPr>
          <w:rFonts w:ascii="Times New Roman" w:hAnsi="Times New Roman" w:cs="Times New Roman"/>
        </w:rPr>
      </w:pPr>
      <w:r>
        <w:rPr>
          <w:rFonts w:cs="Times New Roman" w:ascii="Times New Roman" w:hAnsi="Times New Roman"/>
        </w:rPr>
        <w:t xml:space="preserve">Though a solution is within the PUC’s jurisdiction, there is a high likelihood that many parties will nonetheless seek a legislative fix.  For example, a legislative fix offers the utilities a more permanent solution and therefore more certainty than a PUC decision. In addition, the size of the undercollection could be very large, in which case recovery might have to extend past 3.31.02 in order to avoid rate shocks.  Any extension of the recovery period past 3.31.02 would require a legislative change to AB 1890.  </w:t>
      </w:r>
    </w:p>
    <w:p>
      <w:pPr>
        <w:pStyle w:val="BodyText"/>
        <w:ind w:firstLine="360" w:end="0"/>
        <w:rPr>
          <w:rFonts w:ascii="Times New Roman" w:hAnsi="Times New Roman" w:cs="Times New Roman"/>
        </w:rPr>
      </w:pPr>
      <w:r>
        <w:rPr>
          <w:rFonts w:cs="Times New Roman" w:ascii="Times New Roman" w:hAnsi="Times New Roman"/>
        </w:rPr>
      </w:r>
    </w:p>
    <w:p>
      <w:pPr>
        <w:pStyle w:val="BodyText"/>
        <w:ind w:firstLine="360" w:end="0"/>
        <w:rPr>
          <w:rFonts w:ascii="Times New Roman" w:hAnsi="Times New Roman" w:cs="Times New Roman"/>
        </w:rPr>
      </w:pPr>
      <w:r>
        <w:rPr>
          <w:rFonts w:cs="Times New Roman" w:ascii="Times New Roman" w:hAnsi="Times New Roman"/>
        </w:rPr>
        <w:t>And even if the PUC agreed to this sort of deal, those who oppose utility recovery are likely to seek alternative “solutions” at the Legislature (or the courts).  Finally, though the Governor might prefer to have high his appointees control the solution, he may not have the clout to keep the Legislature disengaged.  Consequently, the probability is high that the Legislature choose or be forced to devise its own “solutions” to the undercollection problem.</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2"/>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774"/>
        </w:tabs>
        <w:ind w:start="774" w:hanging="360"/>
      </w:p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000000"/>
      <w:sz w:val="20"/>
      <w:szCs w:val="20"/>
      <w:u w:val="single"/>
    </w:rPr>
  </w:style>
  <w:style w:type="paragraph" w:styleId="Heading2">
    <w:name w:val="heading 2"/>
    <w:basedOn w:val="Normal"/>
    <w:next w:val="Normal"/>
    <w:qFormat/>
    <w:pPr>
      <w:keepNext w:val="true"/>
      <w:keepLines/>
      <w:numPr>
        <w:ilvl w:val="1"/>
        <w:numId w:val="1"/>
      </w:numPr>
      <w:autoSpaceDE w:val="false"/>
      <w:spacing w:lineRule="atLeast" w:line="240"/>
      <w:outlineLvl w:val="1"/>
    </w:pPr>
    <w:rPr>
      <w:color w:val="000000"/>
      <w:sz w:val="20"/>
      <w:szCs w:val="20"/>
      <w:u w:val="singl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Helv;Arial" w:hAnsi="Helv;Arial" w:cs="Helv;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firstLine="360" w:start="0" w:end="0"/>
    </w:pPr>
    <w:rPr>
      <w:color w:val="000000"/>
      <w:sz w:val="20"/>
      <w:szCs w:val="20"/>
    </w:rPr>
  </w:style>
  <w:style w:type="paragraph" w:styleId="BodyTextIndent2">
    <w:name w:val="Body Text Indent 2"/>
    <w:basedOn w:val="Normal"/>
    <w:qFormat/>
    <w:pPr>
      <w:keepLines/>
      <w:autoSpaceDE w:val="false"/>
      <w:spacing w:lineRule="atLeast" w:line="240"/>
      <w:ind w:hanging="1440" w:start="1440" w:end="0"/>
    </w:pPr>
    <w:rPr>
      <w:b/>
      <w:bCs/>
      <w:i/>
      <w:iCs/>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2000-10-24T21:02:00Z</dcterms:created>
  <dc:creator>jdasovic</dc:creator>
  <dc:description/>
  <dc:language>en-CA</dc:language>
  <cp:lastModifiedBy>jdasovic</cp:lastModifiedBy>
  <cp:lastPrinted>2000-10-24T16:00:00Z</cp:lastPrinted>
  <dcterms:modified xsi:type="dcterms:W3CDTF">2000-10-24T21:02:00Z</dcterms:modified>
  <cp:revision>2</cp:revision>
  <dc:subject/>
  <dc:title>Steve:  </dc:title>
</cp:coreProperties>
</file>