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both"/>
        <w:rPr/>
      </w:pPr>
      <w:r>
        <w:rPr/>
        <w:t>Following the success of their first energy investment partnership, affiliates of Enron Corp. (“Enron”) and the California Public Employees’ Retirement System (“CalPERS”) (together, the “Partners”) have committed $1 billion of capital to Joint Energy Development Investments II Limited Partnership (“JEDI II”), a 50/50 partnership formed in December 1997.  JEDI II was formed to provide Enron’s core merchant businesses the requisite growth capital to make global energy-related investments.</w:t>
      </w:r>
    </w:p>
    <w:p>
      <w:pPr>
        <w:pStyle w:val="Normal"/>
        <w:spacing w:lineRule="auto" w:line="360"/>
        <w:jc w:val="both"/>
        <w:rPr/>
      </w:pPr>
      <w:r>
        <w:rPr/>
      </w:r>
    </w:p>
    <w:p>
      <w:pPr>
        <w:pStyle w:val="Normal"/>
        <w:spacing w:lineRule="auto" w:line="360"/>
        <w:jc w:val="both"/>
        <w:rPr/>
      </w:pPr>
      <w:r>
        <w:rPr/>
        <w:t xml:space="preserve">Enron and CalPERS formed their first investment partnership, Joint Energy Development Investments Limited Partnership (“JEDI”) in June 1993.  In 1992, CalPERS approved a plan to invest up to 5% of its portfolio into its Alternative Investment Management Program (“AIM”).  Through its partnership with Enron, JEDI became one of CalPERS’ first investments under this new program.  CalPERS, already a significant holder of Enron Corp. and Enron Oil and Gas Company common stock at the time, sought to invest in a more direct fashion into Enron’s natural gas and energy-related businesses.  The AIM fund commitment to JEDI represented the largest single direct investment by the AIM Program. </w:t>
      </w:r>
    </w:p>
    <w:p>
      <w:pPr>
        <w:pStyle w:val="Normal"/>
        <w:spacing w:lineRule="auto" w:line="360"/>
        <w:jc w:val="both"/>
        <w:rPr/>
      </w:pPr>
      <w:r>
        <w:rPr/>
      </w:r>
    </w:p>
    <w:p>
      <w:pPr>
        <w:pStyle w:val="BodyText"/>
        <w:spacing w:lineRule="auto" w:line="360"/>
        <w:rPr/>
      </w:pPr>
      <w:r>
        <w:rPr/>
        <w:t>With each partner contributing $250 million in equity, and the support of the bank market in the form of a $490 million revolver (the “JEDI Revolver,”) JEDI became Enron’s premier financing vehicle focused on energy-related financing and investment activities in the United States and Canada.  JEDI was a significant part of the successful growth strategy of Enron’s North American merchant business.  JEDI invested all $500 million of Partners’ capital, participated in 66 transactions with aggregate financing of $1.97 billion, and has successfully exited 31 of those transactions.  As of June 30 ,1999, the remaining 24 assets are valued at over $1.2 billion, and the portfolio is expected to realize approximately a 20% IRR.</w:t>
      </w:r>
    </w:p>
    <w:p>
      <w:pPr>
        <w:pStyle w:val="Normal"/>
        <w:spacing w:lineRule="auto" w:line="360"/>
        <w:jc w:val="both"/>
        <w:rPr/>
      </w:pPr>
      <w:r>
        <w:rPr/>
      </w:r>
      <w:r>
        <w:br w:type="page"/>
      </w:r>
    </w:p>
    <w:p>
      <w:pPr>
        <w:pStyle w:val="Normal"/>
        <w:spacing w:lineRule="auto" w:line="360"/>
        <w:jc w:val="both"/>
        <w:rPr>
          <w:sz w:val="16"/>
        </w:rPr>
      </w:pPr>
      <w:r>
        <w:rPr>
          <w:sz w:val="16"/>
        </w:rPr>
      </w:r>
    </w:p>
    <w:p>
      <w:pPr>
        <w:pStyle w:val="Heading1"/>
        <w:ind w:hanging="0" w:start="0"/>
        <w:rPr/>
      </w:pPr>
      <w:r>
        <w:rPr/>
        <w:t>JEDI II Overview</w:t>
      </w:r>
    </w:p>
    <w:p>
      <w:pPr>
        <w:pStyle w:val="Heading2"/>
        <w:spacing w:before="240" w:after="120"/>
        <w:rPr/>
      </w:pPr>
      <w:r>
        <w:rPr/>
        <w:t>A.</w:t>
        <w:tab/>
        <w:t>Introduction</w:t>
      </w:r>
    </w:p>
    <w:p>
      <w:pPr>
        <w:pStyle w:val="Normal"/>
        <w:spacing w:lineRule="auto" w:line="360"/>
        <w:jc w:val="both"/>
        <w:rPr/>
      </w:pPr>
      <w:r>
        <w:rPr/>
        <w:t xml:space="preserve">Affiliates of Enron and CalPERS, following the success of their first partnership JEDI, formed a second 50/50 partnership, JEDI II, in December 1997.  JEDI II is focused on global energy-related financing and investment opportunities.  Both Partners expect to see strong growth in financing and investment opportunities in the energy sector and have demonstrated their commitment by providing equity capital of $1 billion.  The Partners anticipate the ability to lever the opportunities provided by Enron's strong cash and physical businesses into related investment opportunities much in the way ECT North America provided natural gas related opportunities for JEDI.  CalPERS’ commitment to JEDI II represents its single largest direct investment.  With initial capital of $1.5 billion, JEDI II is the largest private energy investment vehicle in the United States.  </w:t>
      </w:r>
    </w:p>
    <w:p>
      <w:pPr>
        <w:pStyle w:val="Heading2"/>
        <w:spacing w:before="240" w:after="120"/>
        <w:rPr/>
      </w:pPr>
      <w:r>
        <w:rPr/>
        <w:t>B.</w:t>
        <w:tab/>
        <w:t>JEDI II Objectives</w:t>
      </w:r>
    </w:p>
    <w:p>
      <w:pPr>
        <w:pStyle w:val="BodyText"/>
        <w:spacing w:lineRule="auto" w:line="360"/>
        <w:rPr/>
      </w:pPr>
      <w:r>
        <w:rPr/>
        <w:t xml:space="preserve">JEDI II was formed to invest in energy-related opportunities developed by ECT North America (“ECT-NA”), ECT Europe, and EI Capital &amp; Trade Services Group (“EI-CTS”).  Energy-related opportunities include investments relating to natural gas, crude oil, coal, electricity and other forms of energy or investments in facilities designed to explore for, develop, produce, transmit, generate, store or manufacture various types of energy.  Under the terms of the JEDI II Partnership Agreement, up to 40% of JEDI II’s total equity capitalization may be invested outside the United States and Canada.  </w:t>
      </w:r>
    </w:p>
    <w:p>
      <w:pPr>
        <w:pStyle w:val="Normal"/>
        <w:spacing w:lineRule="auto" w:line="360"/>
        <w:jc w:val="both"/>
        <w:rPr/>
      </w:pPr>
      <w:r>
        <w:rPr/>
      </w:r>
    </w:p>
    <w:p>
      <w:pPr>
        <w:pStyle w:val="BodyText"/>
        <w:spacing w:lineRule="auto" w:line="360"/>
        <w:rPr/>
      </w:pPr>
      <w:r>
        <w:rPr/>
        <w:t>JEDI II’s interest in each Qualified Investment must be greater than $5 million and no more than $150 million.  If the sovereign or company credit rating associated with the investment is below investment grade, JEDI II’s interest in each investment cannot be larger than $75 million.  If there is neither a sovereign nor a company credit rating associated with the investment, JEDI II’s interest in each investment cannot be larger than $25 million.  JEDI II can make investments that do not conform to the above parameters, but only with the consent of both Partners.</w:t>
      </w:r>
    </w:p>
    <w:p>
      <w:pPr>
        <w:pStyle w:val="Normal"/>
        <w:spacing w:lineRule="auto" w:line="360"/>
        <w:jc w:val="both"/>
        <w:rPr/>
      </w:pPr>
      <w:r>
        <w:rPr/>
      </w:r>
    </w:p>
    <w:p>
      <w:pPr>
        <w:pStyle w:val="BodyText"/>
        <w:spacing w:lineRule="auto" w:line="360"/>
        <w:rPr/>
      </w:pPr>
      <w:r>
        <w:rPr/>
        <w:t>JEDI II must purchase a minimum of 50% of all Qualified Investments presented by Enron.  Enron can sell to JEDI II, at its discretion, up to 75% of all Qualified Investments.  Enron may offer up to 100% of any Qualified Investment to JEDI II, subject to CalPERS’ approval.</w:t>
      </w:r>
    </w:p>
    <w:p>
      <w:pPr>
        <w:pStyle w:val="Normal"/>
        <w:spacing w:lineRule="auto" w:line="360"/>
        <w:jc w:val="both"/>
        <w:rPr/>
      </w:pPr>
      <w:r>
        <w:rPr/>
      </w:r>
    </w:p>
    <w:p>
      <w:pPr>
        <w:pStyle w:val="Heading2"/>
        <w:spacing w:before="240" w:after="240"/>
        <w:rPr/>
      </w:pPr>
      <w:r>
        <w:rPr/>
        <w:t>C.</w:t>
        <w:tab/>
        <w:t>Partners</w:t>
      </w:r>
    </w:p>
    <w:p>
      <w:pPr>
        <w:pStyle w:val="BodyText"/>
        <w:spacing w:lineRule="auto" w:line="360"/>
        <w:rPr/>
      </w:pPr>
      <w:r>
        <w:object w:dxaOrig="6624" w:dyaOrig="481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61.2pt;margin-top:121.45pt;width:331.2pt;height:240.65pt;mso-wrap-distance-left:9.05pt;mso-wrap-distance-right:9.05pt;mso-position-horizontal-relative:text;mso-position-vertical-relative:text" filled="f" o:ole="">
            <v:imagedata r:id="rId3" o:title=""/>
            <w10:wrap type="topAndBottom"/>
          </v:shape>
          <o:OLEObject Type="Embed" ProgID="" ShapeID="ole_rId2" DrawAspect="Content" ObjectID="_334172593" r:id="rId2"/>
        </w:object>
      </w:r>
      <w:r>
        <w:rPr/>
        <w:t>JEDI II is a limited partnership between wholly owned direct subsidiaries of Enron Capital &amp; Trade Resources Corp. (“ECT”) and CalPERS.  ECM II Limited Partnership (“ECM II”), a Delaware limited partnership, whose partners are wholly-owned direct subsidiaries of ECT, is the 1% general partner; ECM III Limited Partnership, a Delaware limited partnership, whose partners are wholly-owned direct subsidiaries of ECT, is a 49% limited partner; and CalPERS is a 50% limited partner.</w:t>
      </w:r>
    </w:p>
    <w:p>
      <w:pPr>
        <w:pStyle w:val="Normal"/>
        <w:spacing w:lineRule="auto" w:line="360"/>
        <w:jc w:val="both"/>
        <w:rPr/>
      </w:pPr>
      <w:r>
        <w:rPr/>
      </w:r>
    </w:p>
    <w:p>
      <w:pPr>
        <w:pStyle w:val="BodyText2"/>
        <w:spacing w:lineRule="auto" w:line="360"/>
        <w:jc w:val="both"/>
        <w:rPr/>
      </w:pPr>
      <w:r>
        <w:rPr/>
        <w:t>Enron is the world's leading integrated natural gas and electricity company.  The company owns approximately $23 billion in energy related assets, and delivers physical commodities and risk management and financial services to provide energy solutions to customers around the world.  Enron’s senior unsecured debt is currently rated BBB+/Baa2.</w:t>
      </w:r>
    </w:p>
    <w:p>
      <w:pPr>
        <w:pStyle w:val="Normal"/>
        <w:spacing w:lineRule="auto" w:line="360"/>
        <w:jc w:val="both"/>
        <w:rPr>
          <w:color w:val="000000"/>
          <w:lang w:eastAsia="en-US"/>
        </w:rPr>
      </w:pPr>
      <w:r>
        <w:rPr>
          <w:color w:val="000000"/>
          <w:lang w:eastAsia="en-US"/>
        </w:rPr>
      </w:r>
    </w:p>
    <w:p>
      <w:pPr>
        <w:pStyle w:val="BodyText3"/>
        <w:spacing w:lineRule="auto" w:line="360"/>
        <w:jc w:val="both"/>
        <w:rPr>
          <w:color w:val="000000"/>
          <w:lang w:eastAsia="en-US"/>
        </w:rPr>
      </w:pPr>
      <w:r>
        <w:rPr>
          <w:color w:val="000000"/>
          <w:lang w:eastAsia="en-US"/>
        </w:rPr>
        <w:t>CalPERS is the largest public pension system in the United States, with more than $160 billion in assets.  CalPERS provides retirement and health benefits to more than 1 million California State and local public employees, retirees and their families, from more than 2,400 employers.</w:t>
      </w:r>
    </w:p>
    <w:p>
      <w:pPr>
        <w:pStyle w:val="Heading2"/>
        <w:spacing w:before="240" w:after="120"/>
        <w:rPr/>
      </w:pPr>
      <w:r>
        <w:rPr/>
        <w:t>D.</w:t>
        <w:tab/>
        <w:t>Partners’ Contributions</w:t>
      </w:r>
    </w:p>
    <w:p>
      <w:pPr>
        <w:pStyle w:val="Normal"/>
        <w:spacing w:lineRule="auto" w:line="360"/>
        <w:jc w:val="both"/>
        <w:rPr/>
      </w:pPr>
      <w:r>
        <w:rPr/>
        <w:t xml:space="preserve">CalPERS and ECT, through its wholly owned subsidiaries, have each committed to contribute $500 million, for a total of $1 billion in partnership capital within a three year commitment period, expiring December 31, 2000.  ECM II‘s undertakings as a general partner and ECM III’s undertakings as a limited partner are supported by a Parent Performance Agreement from Enron Corp. </w:t>
      </w:r>
    </w:p>
    <w:p>
      <w:pPr>
        <w:pStyle w:val="Heading2"/>
        <w:spacing w:before="240" w:after="120"/>
        <w:rPr/>
      </w:pPr>
      <w:r>
        <w:rPr/>
        <w:t>E.</w:t>
        <w:tab/>
        <w:t>Existing Assets</w:t>
      </w:r>
    </w:p>
    <w:p>
      <w:pPr>
        <w:pStyle w:val="BodyText"/>
        <w:spacing w:lineRule="auto" w:line="360" w:before="0" w:after="120"/>
        <w:rPr/>
      </w:pPr>
      <w:r>
        <w:rPr/>
        <w:t xml:space="preserve">Since its inception in December 1997, JEDI II has invested approximately $715 million as of June 30, 1999. Approximately one third have been in senior and subordinated debt, approximately one half in equity investments, and the balance in limited partnerships and working interests.  All of the current investments are located in North America.  </w:t>
      </w:r>
    </w:p>
    <w:sectPr>
      <w:headerReference w:type="default" r:id="rId4"/>
      <w:footerReference w:type="default" r:id="rId5"/>
      <w:type w:val="nextPage"/>
      <w:pgSz w:w="12240" w:h="15840"/>
      <w:pgMar w:left="1800" w:right="1800" w:gutter="0" w:header="576" w:top="1296" w:footer="432"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0485" cy="160655"/>
              <wp:effectExtent l="0" t="0" r="0" b="0"/>
              <wp:wrapSquare wrapText="bothSides"/>
              <wp:docPr id="2"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213.2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right" w:pos="8640" w:leader="none"/>
      </w:tabs>
      <w:rPr>
        <w:b/>
        <w:i/>
        <w:i/>
      </w:rPr>
    </w:pPr>
    <w:r>
      <w:rPr>
        <w:b/>
        <w:i/>
      </w:rPr>
      <w:t>JEDI II</w:t>
      <w:tab/>
      <w:t>Confidential</w:t>
    </w:r>
  </w:p>
  <w:p>
    <w:pPr>
      <w:pStyle w:val="Header"/>
      <w:tabs>
        <w:tab w:val="clear" w:pos="4320"/>
        <w:tab w:val="clear" w:pos="8640"/>
        <w:tab w:val="right" w:pos="9090" w:leader="none"/>
      </w:tabs>
      <w:spacing w:before="0" w:after="360"/>
      <w:rPr>
        <w:b/>
        <w:i/>
        <w:i/>
        <w:lang w:val="en-CA"/>
      </w:rPr>
    </w:pPr>
    <w:r>
      <w:rPr>
        <w:b/>
        <w:i/>
        <w:lang w:val="en-CA"/>
      </w:rPr>
      <mc:AlternateContent>
        <mc:Choice Requires="wps">
          <w:drawing>
            <wp:anchor behindDoc="1" distT="0" distB="0" distL="114935" distR="114935" simplePos="0" locked="0" layoutInCell="1" allowOverlap="1" relativeHeight="9">
              <wp:simplePos x="0" y="0"/>
              <wp:positionH relativeFrom="column">
                <wp:posOffset>-45720</wp:posOffset>
              </wp:positionH>
              <wp:positionV relativeFrom="paragraph">
                <wp:posOffset>113665</wp:posOffset>
              </wp:positionV>
              <wp:extent cx="5852160" cy="0"/>
              <wp:effectExtent l="0" t="19050" r="0" b="19050"/>
              <wp:wrapNone/>
              <wp:docPr id="1" name=""/>
              <a:graphic xmlns:a="http://schemas.openxmlformats.org/drawingml/2006/main">
                <a:graphicData uri="http://schemas.microsoft.com/office/word/2010/wordprocessingShape">
                  <wps:wsp>
                    <wps:cNvSpPr/>
                    <wps:spPr>
                      <a:xfrm>
                        <a:off x="0" y="0"/>
                        <a:ext cx="585216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3.6pt,8.95pt" to="457.15pt,8.95pt" stroked="t" o:allowincell="f" style="position:absolute">
              <v:stroke color="black" weight="38160" joinstyle="miter"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bering>
</file>

<file path=word/settings.xml><?xml version="1.0" encoding="utf-8"?>
<w:settings xmlns:w="http://schemas.openxmlformats.org/wordprocessingml/2006/main">
  <w:zoom w:percent="100"/>
  <w:defaultTabStop w:val="432"/>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pacing w:before="0" w:after="120"/>
      <w:outlineLvl w:val="0"/>
    </w:pPr>
    <w:rPr>
      <w:rFonts w:ascii="Arial" w:hAnsi="Arial" w:cs="Arial"/>
      <w:b/>
      <w:kern w:val="2"/>
      <w:sz w:val="24"/>
    </w:rPr>
  </w:style>
  <w:style w:type="paragraph" w:styleId="Heading2">
    <w:name w:val="heading 2"/>
    <w:basedOn w:val="Normal"/>
    <w:next w:val="Normal"/>
    <w:qFormat/>
    <w:pPr>
      <w:keepNext w:val="true"/>
      <w:spacing w:before="240" w:after="60"/>
      <w:outlineLvl w:val="1"/>
    </w:pPr>
    <w:rPr>
      <w:rFonts w:ascii="Arial" w:hAnsi="Arial" w:cs="Arial"/>
      <w:b/>
      <w:i/>
    </w:rPr>
  </w:style>
  <w:style w:type="paragraph" w:styleId="Heading3">
    <w:name w:val="heading 3"/>
    <w:basedOn w:val="Normal"/>
    <w:next w:val="Normal"/>
    <w:qFormat/>
    <w:pPr>
      <w:keepNext w:val="true"/>
      <w:spacing w:before="0" w:after="120"/>
      <w:jc w:val="both"/>
      <w:outlineLvl w:val="2"/>
    </w:pPr>
    <w:rPr>
      <w:rFonts w:ascii="Arial" w:hAnsi="Arial" w:cs="Arial"/>
      <w:b/>
    </w:rPr>
  </w:style>
  <w:style w:type="paragraph" w:styleId="Heading4">
    <w:name w:val="heading 4"/>
    <w:basedOn w:val="Normal"/>
    <w:next w:val="Normal"/>
    <w:qFormat/>
    <w:pPr>
      <w:keepNext w:val="true"/>
      <w:tabs>
        <w:tab w:val="clear" w:pos="432"/>
        <w:tab w:val="left" w:pos="288" w:leader="none"/>
        <w:tab w:val="left" w:pos="720" w:leader="none"/>
        <w:tab w:val="left" w:pos="2880" w:leader="none"/>
        <w:tab w:val="left" w:pos="4320" w:leader="none"/>
      </w:tabs>
      <w:outlineLvl w:val="3"/>
    </w:pPr>
    <w:rPr>
      <w:b/>
    </w:rPr>
  </w:style>
  <w:style w:type="paragraph" w:styleId="Heading5">
    <w:name w:val="heading 5"/>
    <w:basedOn w:val="Normal"/>
    <w:next w:val="Normal"/>
    <w:qFormat/>
    <w:pPr>
      <w:keepNext w:val="true"/>
      <w:outlineLvl w:val="4"/>
    </w:pPr>
    <w:rPr>
      <w:u w:val="single"/>
    </w:rPr>
  </w:style>
  <w:style w:type="paragraph" w:styleId="Heading6">
    <w:name w:val="heading 6"/>
    <w:basedOn w:val="Normal"/>
    <w:next w:val="Normal"/>
    <w:qFormat/>
    <w:pPr>
      <w:keepNext w:val="true"/>
      <w:jc w:val="center"/>
      <w:outlineLvl w:val="5"/>
    </w:pPr>
    <w:rPr>
      <w:b/>
    </w:rPr>
  </w:style>
  <w:style w:type="paragraph" w:styleId="Heading7">
    <w:name w:val="heading 7"/>
    <w:basedOn w:val="Normal"/>
    <w:next w:val="Normal"/>
    <w:qFormat/>
    <w:pPr>
      <w:keepNext w:val="true"/>
      <w:spacing w:lineRule="auto" w:line="360"/>
      <w:jc w:val="center"/>
      <w:outlineLvl w:val="6"/>
    </w:pPr>
    <w:rPr>
      <w:rFonts w:ascii="Arial" w:hAnsi="Arial" w:cs="Arial"/>
      <w:sz w:val="40"/>
    </w:rPr>
  </w:style>
  <w:style w:type="paragraph" w:styleId="Heading8">
    <w:name w:val="heading 8"/>
    <w:basedOn w:val="Normal"/>
    <w:next w:val="Normal"/>
    <w:qFormat/>
    <w:pPr>
      <w:keepNext w:val="true"/>
      <w:spacing w:lineRule="auto" w:line="360"/>
      <w:jc w:val="center"/>
      <w:outlineLvl w:val="7"/>
    </w:pPr>
    <w:rPr>
      <w:rFonts w:ascii="Arial" w:hAnsi="Arial" w:cs="Arial"/>
      <w:b/>
      <w:sz w:val="36"/>
    </w:rPr>
  </w:style>
  <w:style w:type="paragraph" w:styleId="Heading9">
    <w:name w:val="heading 9"/>
    <w:basedOn w:val="Normal"/>
    <w:next w:val="Normal"/>
    <w:qFormat/>
    <w:pPr>
      <w:keepNext w:val="true"/>
      <w:spacing w:lineRule="auto" w:line="360"/>
      <w:jc w:val="center"/>
      <w:outlineLvl w:val="8"/>
    </w:pPr>
    <w:rPr>
      <w:rFonts w:ascii="Arial" w:hAnsi="Arial" w:cs="Arial"/>
      <w:sz w:val="36"/>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St21z0">
    <w:name w:val="WW8NumSt2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pPr>
    <w:rPr>
      <w:b/>
      <w:caps/>
      <w:sz w:val="20"/>
    </w:rPr>
  </w:style>
  <w:style w:type="paragraph" w:styleId="TOC2">
    <w:name w:val="toc 2"/>
    <w:basedOn w:val="Normal"/>
    <w:next w:val="Normal"/>
    <w:pPr>
      <w:ind w:hanging="0" w:start="220" w:end="0"/>
    </w:pPr>
    <w:rPr>
      <w:smallCaps/>
      <w:sz w:val="20"/>
    </w:rPr>
  </w:style>
  <w:style w:type="paragraph" w:styleId="TOC3">
    <w:name w:val="toc 3"/>
    <w:basedOn w:val="Normal"/>
    <w:next w:val="Normal"/>
    <w:pPr>
      <w:tabs>
        <w:tab w:val="clear" w:pos="432"/>
        <w:tab w:val="right" w:pos="8630" w:leader="dot"/>
      </w:tabs>
      <w:ind w:hanging="280" w:start="720" w:end="0"/>
    </w:pPr>
    <w:rPr>
      <w:i/>
      <w:sz w:val="20"/>
      <w:lang w:val="en-CA"/>
    </w:rPr>
  </w:style>
  <w:style w:type="paragraph" w:styleId="TOC4">
    <w:name w:val="toc 4"/>
    <w:basedOn w:val="Normal"/>
    <w:next w:val="Normal"/>
    <w:pPr>
      <w:ind w:hanging="0" w:start="660" w:end="0"/>
    </w:pPr>
    <w:rPr>
      <w:sz w:val="18"/>
    </w:rPr>
  </w:style>
  <w:style w:type="paragraph" w:styleId="TOC5">
    <w:name w:val="toc 5"/>
    <w:basedOn w:val="Normal"/>
    <w:next w:val="Normal"/>
    <w:pPr>
      <w:ind w:hanging="0" w:start="880" w:end="0"/>
    </w:pPr>
    <w:rPr>
      <w:sz w:val="18"/>
    </w:rPr>
  </w:style>
  <w:style w:type="paragraph" w:styleId="TOC6">
    <w:name w:val="toc 6"/>
    <w:basedOn w:val="Normal"/>
    <w:next w:val="Normal"/>
    <w:pPr>
      <w:ind w:hanging="0" w:start="1100" w:end="0"/>
    </w:pPr>
    <w:rPr>
      <w:sz w:val="18"/>
    </w:rPr>
  </w:style>
  <w:style w:type="paragraph" w:styleId="TOC7">
    <w:name w:val="toc 7"/>
    <w:basedOn w:val="Normal"/>
    <w:next w:val="Normal"/>
    <w:pPr>
      <w:ind w:hanging="0" w:start="1320" w:end="0"/>
    </w:pPr>
    <w:rPr>
      <w:sz w:val="18"/>
    </w:rPr>
  </w:style>
  <w:style w:type="paragraph" w:styleId="TOC8">
    <w:name w:val="toc 8"/>
    <w:basedOn w:val="Normal"/>
    <w:next w:val="Normal"/>
    <w:pPr>
      <w:ind w:hanging="0" w:start="1540" w:end="0"/>
    </w:pPr>
    <w:rPr>
      <w:sz w:val="18"/>
    </w:rPr>
  </w:style>
  <w:style w:type="paragraph" w:styleId="TOC9">
    <w:name w:val="toc 9"/>
    <w:basedOn w:val="Normal"/>
    <w:next w:val="Normal"/>
    <w:pPr>
      <w:ind w:hanging="0" w:start="1760" w:end="0"/>
    </w:pPr>
    <w:rPr>
      <w:sz w:val="18"/>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Footer">
    <w:name w:val="footer"/>
    <w:basedOn w:val="Normal"/>
    <w:pPr>
      <w:tabs>
        <w:tab w:val="clear" w:pos="432"/>
        <w:tab w:val="center" w:pos="4320" w:leader="none"/>
        <w:tab w:val="right" w:pos="8640" w:leader="none"/>
      </w:tabs>
    </w:pPr>
    <w:rPr/>
  </w:style>
  <w:style w:type="paragraph" w:styleId="Header">
    <w:name w:val="header"/>
    <w:basedOn w:val="Normal"/>
    <w:pPr>
      <w:tabs>
        <w:tab w:val="clear" w:pos="432"/>
        <w:tab w:val="center" w:pos="4320" w:leader="none"/>
        <w:tab w:val="right" w:pos="8640" w:leader="none"/>
      </w:tabs>
    </w:pPr>
    <w:rPr/>
  </w:style>
  <w:style w:type="paragraph" w:styleId="BodyText2">
    <w:name w:val="Body Text 2"/>
    <w:basedOn w:val="Normal"/>
    <w:qFormat/>
    <w:pPr>
      <w:spacing w:lineRule="atLeast" w:line="240"/>
    </w:pPr>
    <w:rPr>
      <w:color w:val="000000"/>
      <w:lang w:eastAsia="en-US"/>
    </w:rPr>
  </w:style>
  <w:style w:type="paragraph" w:styleId="BodyText3">
    <w:name w:val="Body Text 3"/>
    <w:basedOn w:val="Normal"/>
    <w:qFormat/>
    <w:pPr/>
    <w:rPr>
      <w:color w:val="FF0000"/>
    </w:rPr>
  </w:style>
  <w:style w:type="paragraph" w:styleId="FootnoteText">
    <w:name w:val="footnote text"/>
    <w:basedOn w:val="Normal"/>
    <w:pPr/>
    <w:rPr>
      <w:sz w:val="20"/>
    </w:rPr>
  </w:style>
  <w:style w:type="paragraph" w:styleId="BodyTextIndent">
    <w:name w:val="Body Text Indent"/>
    <w:basedOn w:val="Normal"/>
    <w:pPr>
      <w:tabs>
        <w:tab w:val="clear" w:pos="432"/>
        <w:tab w:val="left" w:pos="-1080" w:leader="none"/>
        <w:tab w:val="left" w:pos="-720" w:leader="none"/>
        <w:tab w:val="left" w:pos="1" w:leader="none"/>
        <w:tab w:val="left" w:pos="2250" w:leader="none"/>
        <w:tab w:val="left" w:pos="3168" w:leader="none"/>
        <w:tab w:val="left" w:pos="3590" w:leader="none"/>
        <w:tab w:val="left" w:pos="432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2430" w:start="2430" w:end="0"/>
      <w:jc w:val="both"/>
    </w:pPr>
    <w:rPr/>
  </w:style>
  <w:style w:type="paragraph" w:styleId="BodyTextIndent2">
    <w:name w:val="Body Text Indent 2"/>
    <w:basedOn w:val="Normal"/>
    <w:qFormat/>
    <w:pPr>
      <w:tabs>
        <w:tab w:val="clear" w:pos="432"/>
        <w:tab w:val="left" w:pos="-1080" w:leader="none"/>
        <w:tab w:val="left" w:pos="-720" w:leader="none"/>
        <w:tab w:val="left" w:pos="1" w:leader="none"/>
        <w:tab w:val="left" w:pos="432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960" w:start="3960" w:end="0"/>
      <w:jc w:val="both"/>
    </w:pPr>
    <w:rPr/>
  </w:style>
  <w:style w:type="paragraph" w:styleId="BodyTextIndent3">
    <w:name w:val="Body Text Indent 3"/>
    <w:basedOn w:val="Normal"/>
    <w:qFormat/>
    <w:pPr>
      <w:spacing w:before="0" w:after="120"/>
      <w:ind w:hanging="270" w:start="288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1999-07-28T23:12:00Z</dcterms:created>
  <dc:creator>Jungsuk Suh</dc:creator>
  <dc:description/>
  <dc:language>en-CA</dc:language>
  <cp:lastModifiedBy>ECM</cp:lastModifiedBy>
  <cp:lastPrinted>1999-11-10T14:24:00Z</cp:lastPrinted>
  <dcterms:modified xsi:type="dcterms:W3CDTF">1999-11-10T18:06:00Z</dcterms:modified>
  <cp:revision>5</cp:revision>
  <dc:subject/>
  <dc:title>JEDI II Overview</dc:title>
</cp:coreProperties>
</file>