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9358" w:type="dxa"/>
        <w:jc w:val="start"/>
        <w:tblInd w:w="200" w:type="dxa"/>
        <w:tblLayout w:type="fixed"/>
        <w:tblCellMar>
          <w:top w:w="0" w:type="dxa"/>
          <w:start w:w="108" w:type="dxa"/>
          <w:bottom w:w="0" w:type="dxa"/>
          <w:end w:w="108" w:type="dxa"/>
        </w:tblCellMar>
      </w:tblPr>
      <w:tblGrid>
        <w:gridCol w:w="708"/>
        <w:gridCol w:w="4960"/>
        <w:gridCol w:w="1440"/>
        <w:gridCol w:w="2250"/>
      </w:tblGrid>
      <w:tr>
        <w:trPr>
          <w:trHeight w:val="300" w:hRule="exact"/>
        </w:trPr>
        <w:tc>
          <w:tcPr>
            <w:tcW w:w="708" w:type="dxa"/>
            <w:tcBorders/>
          </w:tcPr>
          <w:p>
            <w:pPr>
              <w:pStyle w:val="Normal"/>
              <w:ind w:start="-180" w:end="0"/>
              <w:jc w:val="end"/>
              <w:rPr>
                <w:sz w:val="16"/>
              </w:rPr>
            </w:pPr>
            <w:r>
              <w:rPr>
                <w:sz w:val="16"/>
              </w:rPr>
              <w:t>To:</w:t>
            </w:r>
          </w:p>
        </w:tc>
        <w:tc>
          <w:tcPr>
            <w:tcW w:w="4960" w:type="dxa"/>
            <w:tcBorders/>
          </w:tcPr>
          <w:p>
            <w:pPr>
              <w:pStyle w:val="To"/>
              <w:rPr/>
            </w:pPr>
            <w:bookmarkStart w:id="0" w:name="to"/>
            <w:bookmarkEnd w:id="0"/>
            <w:r>
              <w:rPr/>
              <w:t>All Directors and Section 16 Officers</w:t>
            </w:r>
          </w:p>
        </w:tc>
        <w:tc>
          <w:tcPr>
            <w:tcW w:w="1440" w:type="dxa"/>
            <w:tcBorders/>
          </w:tcPr>
          <w:p>
            <w:pPr>
              <w:pStyle w:val="Normal"/>
              <w:snapToGrid w:val="false"/>
              <w:ind w:start="-180" w:end="0"/>
              <w:rPr/>
            </w:pPr>
            <w:r>
              <w:rPr/>
            </w:r>
          </w:p>
        </w:tc>
        <w:tc>
          <w:tcPr>
            <w:tcW w:w="2250"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4960" w:type="dxa"/>
            <w:tcBorders/>
          </w:tcPr>
          <w:p>
            <w:pPr>
              <w:pStyle w:val="Normal"/>
              <w:snapToGrid w:val="false"/>
              <w:rPr>
                <w:sz w:val="18"/>
              </w:rPr>
            </w:pPr>
            <w:r>
              <w:rPr>
                <w:sz w:val="18"/>
              </w:rPr>
            </w:r>
          </w:p>
        </w:tc>
        <w:tc>
          <w:tcPr>
            <w:tcW w:w="1440" w:type="dxa"/>
            <w:tcBorders/>
          </w:tcPr>
          <w:p>
            <w:pPr>
              <w:pStyle w:val="Normal"/>
              <w:snapToGrid w:val="false"/>
              <w:ind w:start="-180" w:end="0"/>
              <w:rPr>
                <w:sz w:val="18"/>
              </w:rPr>
            </w:pPr>
            <w:r>
              <w:rPr>
                <w:sz w:val="18"/>
              </w:rPr>
            </w:r>
          </w:p>
        </w:tc>
        <w:tc>
          <w:tcPr>
            <w:tcW w:w="2250"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4960" w:type="dxa"/>
            <w:tcBorders/>
          </w:tcPr>
          <w:p>
            <w:pPr>
              <w:pStyle w:val="From"/>
              <w:rPr/>
            </w:pPr>
            <w:r>
              <w:rPr/>
              <w:t>Paula H. Rieker</w:t>
            </w:r>
          </w:p>
        </w:tc>
        <w:tc>
          <w:tcPr>
            <w:tcW w:w="1440" w:type="dxa"/>
            <w:tcBorders/>
          </w:tcPr>
          <w:p>
            <w:pPr>
              <w:pStyle w:val="Normal"/>
              <w:ind w:start="-180" w:end="0"/>
              <w:jc w:val="end"/>
              <w:rPr>
                <w:sz w:val="16"/>
              </w:rPr>
            </w:pPr>
            <w:r>
              <w:rPr>
                <w:sz w:val="16"/>
              </w:rPr>
              <w:t>Department:</w:t>
            </w:r>
          </w:p>
        </w:tc>
        <w:tc>
          <w:tcPr>
            <w:tcW w:w="2250"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4960" w:type="dxa"/>
            <w:tcBorders/>
          </w:tcPr>
          <w:p>
            <w:pPr>
              <w:pStyle w:val="Normal"/>
              <w:snapToGrid w:val="false"/>
              <w:rPr>
                <w:sz w:val="18"/>
              </w:rPr>
            </w:pPr>
            <w:r>
              <w:rPr>
                <w:sz w:val="18"/>
              </w:rPr>
            </w:r>
          </w:p>
        </w:tc>
        <w:tc>
          <w:tcPr>
            <w:tcW w:w="1440" w:type="dxa"/>
            <w:tcBorders/>
          </w:tcPr>
          <w:p>
            <w:pPr>
              <w:pStyle w:val="Normal"/>
              <w:snapToGrid w:val="false"/>
              <w:ind w:start="-180" w:end="0"/>
              <w:rPr>
                <w:sz w:val="18"/>
              </w:rPr>
            </w:pPr>
            <w:r>
              <w:rPr>
                <w:sz w:val="18"/>
              </w:rPr>
            </w:r>
          </w:p>
        </w:tc>
        <w:tc>
          <w:tcPr>
            <w:tcW w:w="2250"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4960" w:type="dxa"/>
            <w:tcBorders>
              <w:bottom w:val="single" w:sz="18" w:space="0" w:color="000000"/>
            </w:tcBorders>
          </w:tcPr>
          <w:p>
            <w:pPr>
              <w:pStyle w:val="Subject"/>
              <w:rPr/>
            </w:pPr>
            <w:bookmarkStart w:id="2" w:name="tSubject"/>
            <w:bookmarkStart w:id="3" w:name="Subject"/>
            <w:bookmarkEnd w:id="2"/>
            <w:bookmarkEnd w:id="3"/>
            <w:r>
              <w:rPr/>
              <w:t>Monthly Transaction Reminder Form 4 for January</w:t>
            </w:r>
          </w:p>
        </w:tc>
        <w:tc>
          <w:tcPr>
            <w:tcW w:w="1440" w:type="dxa"/>
            <w:tcBorders>
              <w:bottom w:val="single" w:sz="18" w:space="0" w:color="000000"/>
            </w:tcBorders>
          </w:tcPr>
          <w:p>
            <w:pPr>
              <w:pStyle w:val="Normal"/>
              <w:ind w:start="-180" w:end="0"/>
              <w:jc w:val="end"/>
              <w:rPr>
                <w:sz w:val="16"/>
              </w:rPr>
            </w:pPr>
            <w:r>
              <w:rPr>
                <w:sz w:val="16"/>
              </w:rPr>
              <w:t>Date:</w:t>
            </w:r>
          </w:p>
        </w:tc>
        <w:tc>
          <w:tcPr>
            <w:tcW w:w="2250" w:type="dxa"/>
            <w:tcBorders>
              <w:bottom w:val="single" w:sz="18" w:space="0" w:color="000000"/>
            </w:tcBorders>
          </w:tcPr>
          <w:p>
            <w:pPr>
              <w:pStyle w:val="Date"/>
              <w:rPr/>
            </w:pPr>
            <w:r>
              <w:rPr/>
              <w:t>January 23, 2002</w:t>
            </w:r>
          </w:p>
        </w:tc>
      </w:tr>
    </w:tbl>
    <w:p>
      <w:pPr>
        <w:pStyle w:val="Body"/>
        <w:jc w:val="both"/>
        <w:rPr/>
      </w:pPr>
      <w:r>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bookmarkStart w:id="4" w:name="StartOfMemo"/>
      <w:bookmarkEnd w:id="4"/>
      <w:r>
        <w:rPr/>
        <w:tab/>
      </w:r>
      <w:r>
        <w:rPr>
          <w:sz w:val="20"/>
        </w:rPr>
        <w:t xml:space="preserve">This memorandum is to remind you that if there is any change in your beneficial ownership of Enron Corp., Enron Capital LLC or Enron Capital Resources, L.P. stock during January, unless the change is exempt from current reporting (see below), you are required to file a Form 4 with the Securities and Exchange Commission ("SEC").  The Form 4 must be mailed in time to reach the SEC by the 10th of February.  It is imperative that you review a draft of your Form 4 with Elaine Overturf </w:t>
      </w:r>
      <w:r>
        <w:rPr>
          <w:sz w:val="20"/>
          <w:u w:val="single"/>
        </w:rPr>
        <w:t>before</w:t>
      </w:r>
      <w:r>
        <w:rPr>
          <w:sz w:val="20"/>
        </w:rPr>
        <w:t xml:space="preserve"> you file it.  </w:t>
      </w:r>
      <w:r>
        <w:rPr>
          <w:b/>
          <w:sz w:val="20"/>
        </w:rPr>
        <w:t>Failure to report any transaction on a timely basis will result in mandated disclosure of your violation in next year's Proxy Statement and Form 10-K (specifically referencing your name).</w:t>
      </w:r>
      <w:r>
        <w:rPr>
          <w:sz w:val="20"/>
        </w:rPr>
        <w:t xml:space="preserve">  Also, please call Elaine Overturf at (713) 853-6062 (Fax No. (713) 646-3754) if you need a copy of a sample Form 4 or the Form 4 instructions, or if you need assistance in preparing your Form 4 or in determining whether or not a filing is required.</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In general, you must report transactions involving stock listed in your name, the name of your spouse, children and relatives sharing your household, as well as other entities such as trusts, corporations and partnerships in which you have an interest.  In addition to purchases and sales, you must now also report on Form 4 any stock option exercises or conversions of convertible securities and any intra-plan transfers or cash distributions from the Enron Stock Fund if the election to make any such transaction occurred within six months of an election to make an opposite way (buy/sell or sell/buy) transaction in any plan with an Enron Stock Fund.  In addition, you must report on Form 4 your end-of-month holdings even if the transactions which may have changed such holdings were exempt from reporting, such as acquisitions from payroll deductions or dividend reinvestment in the Savings Plan, transfers of shares from the ESOP to the Savings Plan or to an IRA, gifts to family members who share your home, acquisitions or dispositions from divorce settlements, stock splits, etc.  Therefore, it is very important that you provide Elaine with any changes in your end-of-month holdings each time you are required to file a Form 4.  Certain transactions are now generally exempt from current reporting and, instead, are reportable on an annual basis on Form 5, </w:t>
      </w:r>
      <w:r>
        <w:rPr>
          <w:b/>
          <w:bCs/>
          <w:sz w:val="20"/>
        </w:rPr>
        <w:t xml:space="preserve">which must be filed by February 14, 2002.  Please let Elaine Overturf know immediately if you have any transactions that must be reported by February 14, 2002.  </w:t>
      </w:r>
      <w:r>
        <w:rPr>
          <w:sz w:val="20"/>
        </w:rPr>
        <w:t>However, these transactions may be reported earlier on a Form 4.  Examples of exempt transactions which may be reported on Form 5 are (1) voluntary intra-plan transfers or cash distributions from an Enron Stock Fund for which the election relating to such transaction took place at least six months after any opposite way election, (2) any stock option grants, restricted awards or purchases from Enron or one of its employee benefit plans which had the prior approval of the Board or the Compensation and Management Development Committee, (3) small acquisitions, (4) gifts to others who do not share your home, (5) inheritances, and (6) sales to Enron which had the prior approval of the Board or the Compensation and Management Development Committee.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summary, you are obligated to report, whether on Form 4 or on year-end Form 5, either all of the transactions or the results of all of the transactions in your end-of-month holdings directly or indirectly affecting Enron stock ownership by you, your immediate family and other entities in which you have an interest.  The Forms allow you to disclaim beneficial ownership in reported shares in certain circumstances.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Please note that the Form 4 will be deemed timely filed if you can demonstrate that the Form was deposited with a third-party mail or courier service that guarantees delivery to the SEC by the due date, even if it is not received by the SEC until after the due date.  To rely on this provision, you must retain the receipt or airbill from the third-party delivery service, indicating that the report was received by the third-party service in time for proper filing with the SEC by the required date. </w:t>
      </w:r>
      <w:r>
        <w:rPr>
          <w:b/>
          <w:sz w:val="20"/>
        </w:rPr>
        <w:t>Because of the uncertainty of the U.S. mail and the importance of making timely filings, we request that all future filings made by Executive Officers and Directors of Enron Corp. to the SEC be done by third-party overnight couriers  (such as FedEx or a like service) and that each filer retain the receipt or airbill from such courier indicating date and time of delivery to courier service.  If requested, the Corporate Secretary Department stands ready to make the required SEC filing for any of the Executive Officers or Directors.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Duplicated or facsimile signatures will now be considered manual signatures provided the original signed document is retained by the filer for five years and available to the SEC upon request.  We recommend that you keep an original signed document in your file and send one to Elaine as a backup copy.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t>Copies of your Forms 4 should be delivered to:</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w:t>
        <w:tab/>
        <w:t>Securities and Exchange Commission</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450 Fifth Street, NW</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Attention:  Filing Desk</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Stop 1-4</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Washington, DC  20549</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(Overnight courier -- three copies)*</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rFonts w:eastAsia="Arial"/>
          <w:sz w:val="20"/>
        </w:rPr>
        <w:t xml:space="preserve"> </w:t>
      </w:r>
      <w:r>
        <w:rPr>
          <w:sz w:val="20"/>
        </w:rPr>
        <w:t>(ii)</w:t>
        <w:tab/>
        <w:t>Elaine V. Overturf</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Enron Corp.</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1400 Smith Street, Suite 4839D</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Houston, Texas  77002</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manually signed original of your Form 4 with your cover</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letter and a copy of your third-party overnight delivery service airbill to the SEC)</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*Faxed or photocopied signatures acceptable.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If you are contemplating a transaction in Company stock, be sure that you first review with Elaine whether such transaction could result in a short-swing profit pursuant to Section 16(b).  In addition, if you are considered an affiliate ("control person") of the Company, you must comply with all applicable requirements of Rule 144 before you sell any Company stock (please note:  although Rule 144 does not provide a specific definition of who is an affiliate or "control person", the Staff of the SEC presumes that all directors and executive officers of a company are affiliates and the burden of proving otherwise falls on the executive; a person is free to disclaim his/her status as an affiliate in the Remarks section of the Form 144).  </w:t>
      </w:r>
      <w:r>
        <w:rPr>
          <w:b/>
          <w:sz w:val="20"/>
        </w:rPr>
        <w:t>Elaine will be glad to assist you in preparing your 144 Form which must be mailed to the SEC no later than on the date you place your sell order with your broker.</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r>
        <w:br w:type="page"/>
      </w:r>
    </w:p>
    <w:p>
      <w:pPr>
        <w:pStyle w:val="Normal"/>
        <w:tabs>
          <w:tab w:val="left" w:pos="540" w:leader="none"/>
          <w:tab w:val="left" w:pos="720" w:leader="none"/>
        </w:tabs>
        <w:rPr>
          <w:sz w:val="20"/>
        </w:rPr>
      </w:pPr>
      <w:r>
        <w:rPr>
          <w:sz w:val="20"/>
        </w:rPr>
        <w:t>To all Directors and Section 16 Officers of Enron Corp.:</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t>Robert A. Belfer</w:t>
      </w:r>
    </w:p>
    <w:p>
      <w:pPr>
        <w:pStyle w:val="Normal"/>
        <w:tabs>
          <w:tab w:val="left" w:pos="540" w:leader="none"/>
          <w:tab w:val="left" w:pos="720" w:leader="none"/>
        </w:tabs>
        <w:rPr>
          <w:sz w:val="20"/>
        </w:rPr>
      </w:pPr>
      <w:r>
        <w:rPr>
          <w:sz w:val="20"/>
        </w:rPr>
        <w:t>Norman P. Blake, Jr.</w:t>
      </w:r>
    </w:p>
    <w:p>
      <w:pPr>
        <w:pStyle w:val="Normal"/>
        <w:tabs>
          <w:tab w:val="left" w:pos="540" w:leader="none"/>
          <w:tab w:val="left" w:pos="720" w:leader="none"/>
        </w:tabs>
        <w:rPr>
          <w:sz w:val="20"/>
        </w:rPr>
      </w:pPr>
      <w:r>
        <w:rPr>
          <w:sz w:val="20"/>
        </w:rPr>
        <w:t>Ronnie C. Chan</w:t>
      </w:r>
    </w:p>
    <w:p>
      <w:pPr>
        <w:pStyle w:val="Normal"/>
        <w:tabs>
          <w:tab w:val="left" w:pos="540" w:leader="none"/>
          <w:tab w:val="left" w:pos="720" w:leader="none"/>
        </w:tabs>
        <w:rPr>
          <w:sz w:val="20"/>
        </w:rPr>
      </w:pPr>
      <w:r>
        <w:rPr>
          <w:sz w:val="20"/>
        </w:rPr>
        <w:t>John H. Duncan</w:t>
      </w:r>
    </w:p>
    <w:p>
      <w:pPr>
        <w:pStyle w:val="Normal"/>
        <w:tabs>
          <w:tab w:val="left" w:pos="540" w:leader="none"/>
          <w:tab w:val="left" w:pos="720" w:leader="none"/>
        </w:tabs>
        <w:rPr>
          <w:sz w:val="20"/>
        </w:rPr>
      </w:pPr>
      <w:r>
        <w:rPr>
          <w:sz w:val="20"/>
        </w:rPr>
        <w:t>Wendy L. Gramm</w:t>
      </w:r>
    </w:p>
    <w:p>
      <w:pPr>
        <w:pStyle w:val="Normal"/>
        <w:tabs>
          <w:tab w:val="left" w:pos="540" w:leader="none"/>
          <w:tab w:val="left" w:pos="720" w:leader="none"/>
        </w:tabs>
        <w:rPr>
          <w:sz w:val="20"/>
        </w:rPr>
      </w:pPr>
      <w:r>
        <w:rPr>
          <w:sz w:val="20"/>
        </w:rPr>
        <w:t>Robert K. Jaedicke</w:t>
      </w:r>
    </w:p>
    <w:p>
      <w:pPr>
        <w:pStyle w:val="Normal"/>
        <w:tabs>
          <w:tab w:val="left" w:pos="540" w:leader="none"/>
          <w:tab w:val="left" w:pos="720" w:leader="none"/>
        </w:tabs>
        <w:rPr>
          <w:sz w:val="20"/>
        </w:rPr>
      </w:pPr>
      <w:r>
        <w:rPr>
          <w:sz w:val="20"/>
        </w:rPr>
        <w:t>Charles A. LeMaistre</w:t>
      </w:r>
    </w:p>
    <w:p>
      <w:pPr>
        <w:pStyle w:val="Normal"/>
        <w:tabs>
          <w:tab w:val="left" w:pos="540" w:leader="none"/>
          <w:tab w:val="left" w:pos="720" w:leader="none"/>
        </w:tabs>
        <w:rPr>
          <w:sz w:val="20"/>
        </w:rPr>
      </w:pPr>
      <w:r>
        <w:rPr>
          <w:sz w:val="20"/>
        </w:rPr>
        <w:t>John Mendelsohn</w:t>
      </w:r>
    </w:p>
    <w:p>
      <w:pPr>
        <w:pStyle w:val="Normal"/>
        <w:tabs>
          <w:tab w:val="left" w:pos="540" w:leader="none"/>
          <w:tab w:val="left" w:pos="720" w:leader="none"/>
        </w:tabs>
        <w:rPr>
          <w:sz w:val="20"/>
        </w:rPr>
      </w:pPr>
      <w:r>
        <w:rPr>
          <w:sz w:val="20"/>
        </w:rPr>
        <w:t>Paulo V. Ferraz Pereira</w:t>
      </w:r>
    </w:p>
    <w:p>
      <w:pPr>
        <w:pStyle w:val="Normal"/>
        <w:tabs>
          <w:tab w:val="left" w:pos="540" w:leader="none"/>
          <w:tab w:val="left" w:pos="720" w:leader="none"/>
        </w:tabs>
        <w:rPr>
          <w:sz w:val="20"/>
        </w:rPr>
      </w:pPr>
      <w:r>
        <w:rPr>
          <w:sz w:val="20"/>
        </w:rPr>
        <w:t>William C. Powers, Jr.</w:t>
      </w:r>
    </w:p>
    <w:p>
      <w:pPr>
        <w:pStyle w:val="Normal"/>
        <w:tabs>
          <w:tab w:val="left" w:pos="540" w:leader="none"/>
          <w:tab w:val="left" w:pos="720" w:leader="none"/>
        </w:tabs>
        <w:rPr>
          <w:sz w:val="20"/>
        </w:rPr>
      </w:pPr>
      <w:r>
        <w:rPr>
          <w:sz w:val="20"/>
        </w:rPr>
        <w:t>Frank Savage</w:t>
      </w:r>
    </w:p>
    <w:p>
      <w:pPr>
        <w:pStyle w:val="Normal"/>
        <w:tabs>
          <w:tab w:val="left" w:pos="540" w:leader="none"/>
          <w:tab w:val="left" w:pos="720" w:leader="none"/>
        </w:tabs>
        <w:rPr>
          <w:sz w:val="20"/>
        </w:rPr>
      </w:pPr>
      <w:r>
        <w:rPr>
          <w:sz w:val="20"/>
        </w:rPr>
        <w:t>The Rt. Hon. Lord Wakeham</w:t>
      </w:r>
    </w:p>
    <w:p>
      <w:pPr>
        <w:pStyle w:val="Normal"/>
        <w:tabs>
          <w:tab w:val="left" w:pos="540" w:leader="none"/>
          <w:tab w:val="left" w:pos="720" w:leader="none"/>
        </w:tabs>
        <w:rPr>
          <w:sz w:val="20"/>
        </w:rPr>
      </w:pPr>
      <w:r>
        <w:rPr>
          <w:sz w:val="20"/>
        </w:rPr>
        <w:t>Herbert S. Winokur, Jr.</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u w:val="single"/>
        </w:rPr>
        <w:t>Sent Via E-Mail:</w:t>
      </w:r>
    </w:p>
    <w:p>
      <w:pPr>
        <w:pStyle w:val="Normal"/>
        <w:tabs>
          <w:tab w:val="left" w:pos="540" w:leader="none"/>
          <w:tab w:val="left" w:pos="720" w:leader="none"/>
        </w:tabs>
        <w:rPr>
          <w:rFonts w:cs="Arial"/>
          <w:sz w:val="20"/>
        </w:rPr>
      </w:pPr>
      <w:r>
        <w:rPr>
          <w:rFonts w:cs="Arial"/>
          <w:sz w:val="20"/>
        </w:rPr>
      </w:r>
    </w:p>
    <w:p>
      <w:pPr>
        <w:pStyle w:val="Normal"/>
        <w:rPr>
          <w:rFonts w:cs="Arial"/>
          <w:color w:val="000000"/>
          <w:sz w:val="20"/>
        </w:rPr>
      </w:pPr>
      <w:r>
        <w:rPr>
          <w:rFonts w:cs="Arial"/>
          <w:color w:val="000000"/>
          <w:sz w:val="20"/>
        </w:rPr>
        <w:t>Kenneth L Lay</w:t>
      </w:r>
    </w:p>
    <w:p>
      <w:pPr>
        <w:pStyle w:val="Normal"/>
        <w:rPr>
          <w:rFonts w:cs="Arial"/>
          <w:color w:val="000000"/>
          <w:sz w:val="20"/>
        </w:rPr>
      </w:pPr>
      <w:r>
        <w:rPr>
          <w:rFonts w:cs="Arial"/>
          <w:color w:val="000000"/>
          <w:sz w:val="20"/>
        </w:rPr>
        <w:t>Raymond M. Bowen</w:t>
      </w:r>
    </w:p>
    <w:p>
      <w:pPr>
        <w:pStyle w:val="Normal"/>
        <w:rPr>
          <w:rFonts w:cs="Arial"/>
          <w:color w:val="000000"/>
          <w:sz w:val="20"/>
        </w:rPr>
      </w:pPr>
      <w:r>
        <w:rPr>
          <w:rFonts w:cs="Arial"/>
          <w:color w:val="000000"/>
          <w:sz w:val="20"/>
        </w:rPr>
        <w:t>Richard B. Buy</w:t>
      </w:r>
    </w:p>
    <w:p>
      <w:pPr>
        <w:pStyle w:val="Normal"/>
        <w:rPr>
          <w:rFonts w:cs="Arial"/>
          <w:color w:val="000000"/>
          <w:sz w:val="20"/>
        </w:rPr>
      </w:pPr>
      <w:r>
        <w:rPr>
          <w:rFonts w:cs="Arial"/>
          <w:color w:val="000000"/>
          <w:sz w:val="20"/>
        </w:rPr>
        <w:t>Richard A. Causey</w:t>
      </w:r>
    </w:p>
    <w:p>
      <w:pPr>
        <w:pStyle w:val="Normal"/>
        <w:rPr>
          <w:rFonts w:cs="Arial"/>
          <w:color w:val="000000"/>
          <w:sz w:val="20"/>
        </w:rPr>
      </w:pPr>
      <w:r>
        <w:rPr>
          <w:rFonts w:cs="Arial"/>
          <w:color w:val="000000"/>
          <w:sz w:val="20"/>
        </w:rPr>
        <w:t>David W. Delainey</w:t>
      </w:r>
    </w:p>
    <w:p>
      <w:pPr>
        <w:pStyle w:val="Normal"/>
        <w:rPr>
          <w:rFonts w:cs="Arial"/>
          <w:color w:val="000000"/>
          <w:sz w:val="20"/>
        </w:rPr>
      </w:pPr>
      <w:r>
        <w:rPr>
          <w:rFonts w:cs="Arial"/>
          <w:color w:val="000000"/>
          <w:sz w:val="20"/>
        </w:rPr>
        <w:t>James V. Derrick, Jr.</w:t>
      </w:r>
    </w:p>
    <w:p>
      <w:pPr>
        <w:pStyle w:val="Normal"/>
        <w:rPr>
          <w:rFonts w:cs="Arial"/>
          <w:color w:val="000000"/>
          <w:sz w:val="20"/>
        </w:rPr>
      </w:pPr>
      <w:r>
        <w:rPr>
          <w:rFonts w:cs="Arial"/>
          <w:color w:val="000000"/>
          <w:sz w:val="20"/>
        </w:rPr>
        <w:t>Stanley C. Horton</w:t>
      </w:r>
    </w:p>
    <w:p>
      <w:pPr>
        <w:pStyle w:val="Normal"/>
        <w:rPr>
          <w:rFonts w:cs="Arial"/>
          <w:color w:val="000000"/>
          <w:sz w:val="20"/>
        </w:rPr>
      </w:pPr>
      <w:r>
        <w:rPr>
          <w:rFonts w:cs="Arial"/>
          <w:color w:val="000000"/>
          <w:sz w:val="20"/>
        </w:rPr>
        <w:t>Mark E. Koenig</w:t>
      </w:r>
    </w:p>
    <w:p>
      <w:pPr>
        <w:pStyle w:val="Normal"/>
        <w:rPr>
          <w:rFonts w:cs="Arial"/>
          <w:color w:val="000000"/>
          <w:sz w:val="20"/>
        </w:rPr>
      </w:pPr>
      <w:r>
        <w:rPr>
          <w:rFonts w:cs="Arial"/>
          <w:color w:val="000000"/>
          <w:sz w:val="20"/>
        </w:rPr>
        <w:t>Jeffrey McMahon</w:t>
      </w:r>
    </w:p>
    <w:p>
      <w:pPr>
        <w:pStyle w:val="Normal"/>
        <w:rPr>
          <w:rFonts w:cs="Arial"/>
          <w:color w:val="000000"/>
          <w:sz w:val="20"/>
        </w:rPr>
      </w:pPr>
      <w:r>
        <w:rPr>
          <w:rFonts w:cs="Arial"/>
          <w:color w:val="000000"/>
          <w:sz w:val="20"/>
        </w:rPr>
        <w:t>John R. Sherriff</w:t>
      </w:r>
    </w:p>
    <w:p>
      <w:pPr>
        <w:pStyle w:val="Normal"/>
        <w:rPr>
          <w:rFonts w:cs="Arial"/>
          <w:color w:val="000000"/>
          <w:sz w:val="20"/>
        </w:rPr>
      </w:pPr>
      <w:r>
        <w:rPr>
          <w:rFonts w:cs="Arial"/>
          <w:color w:val="000000"/>
          <w:sz w:val="20"/>
        </w:rPr>
        <w:t>Greg L. Whalley</w:t>
      </w:r>
    </w:p>
    <w:p>
      <w:pPr>
        <w:pStyle w:val="Normal"/>
        <w:tabs>
          <w:tab w:val="left" w:pos="540" w:leader="none"/>
          <w:tab w:val="left" w:pos="720" w:leader="none"/>
        </w:tabs>
        <w:ind w:firstLine="720" w:end="0"/>
        <w:rPr>
          <w:rFonts w:cs="Arial"/>
          <w:color w:val="000000"/>
          <w:sz w:val="20"/>
        </w:rPr>
      </w:pPr>
      <w:r>
        <w:rPr>
          <w:rFonts w:cs="Arial"/>
          <w:color w:val="000000"/>
          <w:sz w:val="20"/>
        </w:rPr>
      </w:r>
    </w:p>
    <w:sectPr>
      <w:headerReference w:type="default" r:id="rId3"/>
      <w:headerReference w:type="first" r:id="rId4"/>
      <w:footerReference w:type="default" r:id="rId5"/>
      <w:footerReference w:type="first" r:id="rId6"/>
      <w:type w:val="nextPage"/>
      <w:pgSz w:w="12240" w:h="15840"/>
      <w:pgMar w:left="144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5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2002-01-23T12:39:00Z</dcterms:created>
  <dc:creator>Chris Smith</dc:creator>
  <dc:description/>
  <dc:language>en-CA</dc:language>
  <cp:lastModifiedBy>Laura Valencia</cp:lastModifiedBy>
  <cp:lastPrinted>2002-01-23T09:13:00Z</cp:lastPrinted>
  <dcterms:modified xsi:type="dcterms:W3CDTF">2002-01-23T16:06:00Z</dcterms:modified>
  <cp:revision>5</cp:revision>
  <dc:subject>The Subject of the Memo</dc:subject>
  <dc:title>Better, Faster, Simpler Memo </dc:title>
</cp:coreProperties>
</file>