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July</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July 17,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July, unless the change is exempt from current reporting (see below), you are required to file a Form 4 with the Securities and Exchange Commission ("SEC").  The Form 4 must be mailed in time to reach the SEC by the 10th of August.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 Pereira</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Jeffrey K Skilling</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David W. Delainey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 A. Frevert</w:t>
      </w:r>
    </w:p>
    <w:p>
      <w:pPr>
        <w:pStyle w:val="Normal"/>
        <w:rPr>
          <w:rFonts w:cs="Arial"/>
          <w:color w:val="000000"/>
          <w:sz w:val="18"/>
        </w:rPr>
      </w:pPr>
      <w:r>
        <w:rPr>
          <w:rFonts w:cs="Arial"/>
          <w:color w:val="000000"/>
          <w:sz w:val="18"/>
        </w:rPr>
        <w:t>Kevin P. Hannon</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rPr>
          <w:rFonts w:cs="Arial"/>
          <w:color w:val="000000"/>
          <w:sz w:val="18"/>
        </w:rPr>
      </w:pPr>
      <w:r>
        <w:rPr>
          <w:rFonts w:cs="Arial"/>
          <w:color w:val="000000"/>
          <w:sz w:val="18"/>
        </w:rPr>
        <w:t>Kenneth D. Rice</w:t>
      </w:r>
    </w:p>
    <w:p>
      <w:pPr>
        <w:pStyle w:val="Normal"/>
        <w:rPr>
          <w:rFonts w:cs="Arial"/>
          <w:color w:val="000000"/>
          <w:sz w:val="18"/>
        </w:rPr>
      </w:pPr>
      <w:r>
        <w:rPr>
          <w:rFonts w:cs="Arial"/>
          <w:color w:val="000000"/>
          <w:sz w:val="18"/>
        </w:rPr>
        <w:t>John R. Sherriff</w:t>
      </w:r>
    </w:p>
    <w:p>
      <w:pPr>
        <w:pStyle w:val="Normal"/>
        <w:rPr>
          <w:rFonts w:cs="Arial"/>
          <w:color w:val="000000"/>
          <w:sz w:val="18"/>
        </w:rPr>
      </w:pPr>
      <w:r>
        <w:rPr>
          <w:rFonts w:cs="Arial"/>
          <w:color w:val="000000"/>
          <w:sz w:val="18"/>
        </w:rPr>
        <w:t>Greg L. Whalley</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2001-03-21T09:14:00Z</cp:lastPrinted>
  <dcterms:modified xsi:type="dcterms:W3CDTF">2001-07-17T13:48:00Z</dcterms:modified>
  <cp:revision>62</cp:revision>
  <dc:subject>The Subject of the Memo</dc:subject>
  <dc:title>Better, Faster, Simpler Memo </dc:title>
</cp:coreProperties>
</file>